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A2B" w:rsidRPr="00827DCE" w:rsidRDefault="002C3A2B" w:rsidP="002C3A2B">
      <w:pPr>
        <w:jc w:val="center"/>
        <w:rPr>
          <w:b/>
          <w:sz w:val="24"/>
        </w:rPr>
      </w:pPr>
      <w:r>
        <w:rPr>
          <w:b/>
          <w:sz w:val="24"/>
        </w:rPr>
        <w:t>Meta Data for 2014</w:t>
      </w:r>
      <w:r w:rsidRPr="00827DCE">
        <w:rPr>
          <w:b/>
          <w:sz w:val="24"/>
        </w:rPr>
        <w:t xml:space="preserve"> N</w:t>
      </w:r>
      <w:r>
        <w:rPr>
          <w:b/>
          <w:sz w:val="24"/>
        </w:rPr>
        <w:t xml:space="preserve">orth </w:t>
      </w:r>
      <w:r w:rsidRPr="00827DCE">
        <w:rPr>
          <w:b/>
          <w:sz w:val="24"/>
        </w:rPr>
        <w:t>P</w:t>
      </w:r>
      <w:r>
        <w:rPr>
          <w:b/>
          <w:sz w:val="24"/>
        </w:rPr>
        <w:t xml:space="preserve">ole </w:t>
      </w:r>
      <w:r w:rsidRPr="00827DCE">
        <w:rPr>
          <w:b/>
          <w:sz w:val="24"/>
        </w:rPr>
        <w:t>E</w:t>
      </w:r>
      <w:r>
        <w:rPr>
          <w:b/>
          <w:sz w:val="24"/>
        </w:rPr>
        <w:t xml:space="preserve">nvironmental </w:t>
      </w:r>
      <w:r w:rsidRPr="00827DCE">
        <w:rPr>
          <w:b/>
          <w:sz w:val="24"/>
        </w:rPr>
        <w:t>O</w:t>
      </w:r>
      <w:r>
        <w:rPr>
          <w:b/>
          <w:sz w:val="24"/>
        </w:rPr>
        <w:t>bservatory</w:t>
      </w:r>
      <w:r w:rsidRPr="00827DCE">
        <w:rPr>
          <w:b/>
          <w:sz w:val="24"/>
        </w:rPr>
        <w:t xml:space="preserve"> CTD-O</w:t>
      </w:r>
      <w:r w:rsidRPr="00827DCE">
        <w:rPr>
          <w:b/>
          <w:sz w:val="24"/>
          <w:vertAlign w:val="subscript"/>
        </w:rPr>
        <w:t>2</w:t>
      </w:r>
      <w:r w:rsidRPr="00827DCE">
        <w:rPr>
          <w:b/>
          <w:sz w:val="24"/>
        </w:rPr>
        <w:t xml:space="preserve"> </w:t>
      </w:r>
      <w:r>
        <w:rPr>
          <w:b/>
          <w:sz w:val="24"/>
        </w:rPr>
        <w:t>Profiles collected as part of the aerial hydrographic surveys</w:t>
      </w:r>
    </w:p>
    <w:p w:rsidR="002C3A2B" w:rsidRDefault="002C3A2B"/>
    <w:p w:rsidR="002C3A2B" w:rsidRPr="00827DCE" w:rsidRDefault="002C3A2B" w:rsidP="002C3A2B">
      <w:pPr>
        <w:rPr>
          <w:sz w:val="24"/>
        </w:rPr>
      </w:pPr>
      <w:r>
        <w:rPr>
          <w:sz w:val="24"/>
        </w:rPr>
        <w:tab/>
      </w:r>
      <w:r w:rsidRPr="00827DCE">
        <w:rPr>
          <w:sz w:val="24"/>
        </w:rPr>
        <w:t>Measurements were collected using two Seabird SBE19</w:t>
      </w:r>
      <w:r w:rsidRPr="00827DCE">
        <w:rPr>
          <w:i/>
          <w:sz w:val="24"/>
        </w:rPr>
        <w:t>plus</w:t>
      </w:r>
      <w:r w:rsidRPr="00827DCE">
        <w:rPr>
          <w:sz w:val="24"/>
        </w:rPr>
        <w:t xml:space="preserve"> </w:t>
      </w:r>
      <w:proofErr w:type="spellStart"/>
      <w:r w:rsidRPr="00827DCE">
        <w:rPr>
          <w:sz w:val="24"/>
        </w:rPr>
        <w:t>Seacats</w:t>
      </w:r>
      <w:proofErr w:type="spellEnd"/>
      <w:r w:rsidRPr="00827DCE">
        <w:rPr>
          <w:sz w:val="24"/>
        </w:rPr>
        <w:t xml:space="preserve"> (serial numbers 5076 and 4000), each outfitted with an SBE43 O</w:t>
      </w:r>
      <w:r w:rsidRPr="00827DCE">
        <w:rPr>
          <w:sz w:val="24"/>
          <w:vertAlign w:val="subscript"/>
        </w:rPr>
        <w:t>2</w:t>
      </w:r>
      <w:r w:rsidRPr="00827DCE">
        <w:rPr>
          <w:sz w:val="24"/>
        </w:rPr>
        <w:t>-sensor (serial number</w:t>
      </w:r>
      <w:r>
        <w:rPr>
          <w:sz w:val="24"/>
        </w:rPr>
        <w:t xml:space="preserve">s 1406 or 0938, see Table 1).  </w:t>
      </w:r>
      <w:r w:rsidRPr="00827DCE">
        <w:rPr>
          <w:sz w:val="24"/>
        </w:rPr>
        <w:t>The SBE43 sensors were plumbed in-line between the TC cell and Seabir</w:t>
      </w:r>
      <w:r>
        <w:rPr>
          <w:sz w:val="24"/>
        </w:rPr>
        <w:t>d 2.0K pump of each instrument.  The CTD-O</w:t>
      </w:r>
      <w:r w:rsidRPr="00827DCE">
        <w:rPr>
          <w:sz w:val="24"/>
          <w:vertAlign w:val="subscript"/>
        </w:rPr>
        <w:t>2</w:t>
      </w:r>
      <w:r>
        <w:rPr>
          <w:sz w:val="24"/>
        </w:rPr>
        <w:t xml:space="preserve"> package was hung below an in-situ ultraviolet </w:t>
      </w:r>
      <w:proofErr w:type="spellStart"/>
      <w:r>
        <w:rPr>
          <w:sz w:val="24"/>
        </w:rPr>
        <w:t>spectrophotomer</w:t>
      </w:r>
      <w:proofErr w:type="spellEnd"/>
      <w:r>
        <w:rPr>
          <w:sz w:val="24"/>
        </w:rPr>
        <w:t xml:space="preserve"> (ISUS) and battery pack, mounted vertically in a stainless steel frame, using 4-inch, locking </w:t>
      </w:r>
      <w:proofErr w:type="spellStart"/>
      <w:r>
        <w:rPr>
          <w:sz w:val="24"/>
        </w:rPr>
        <w:t>carabiners</w:t>
      </w:r>
      <w:proofErr w:type="spellEnd"/>
      <w:r>
        <w:rPr>
          <w:sz w:val="24"/>
        </w:rPr>
        <w:t xml:space="preserve">.  As a consequence of the physical separation between the </w:t>
      </w:r>
      <w:proofErr w:type="spellStart"/>
      <w:r>
        <w:rPr>
          <w:sz w:val="24"/>
        </w:rPr>
        <w:t>thermistor</w:t>
      </w:r>
      <w:proofErr w:type="spellEnd"/>
      <w:r>
        <w:rPr>
          <w:sz w:val="24"/>
        </w:rPr>
        <w:t xml:space="preserve"> and O</w:t>
      </w:r>
      <w:r w:rsidRPr="003D6D3D">
        <w:rPr>
          <w:sz w:val="24"/>
          <w:vertAlign w:val="subscript"/>
        </w:rPr>
        <w:t>2</w:t>
      </w:r>
      <w:r>
        <w:rPr>
          <w:sz w:val="24"/>
        </w:rPr>
        <w:t xml:space="preserve"> sensor (as well as the different response times of the two sensors), there is a small lag in time between temperature and O</w:t>
      </w:r>
      <w:r w:rsidRPr="003D6D3D">
        <w:rPr>
          <w:sz w:val="24"/>
          <w:vertAlign w:val="subscript"/>
        </w:rPr>
        <w:t>2</w:t>
      </w:r>
      <w:r>
        <w:rPr>
          <w:sz w:val="24"/>
        </w:rPr>
        <w:t xml:space="preserve"> measurements of the same water parcel.  As a result, the O</w:t>
      </w:r>
      <w:r w:rsidRPr="003D6D3D">
        <w:rPr>
          <w:sz w:val="24"/>
          <w:vertAlign w:val="subscript"/>
        </w:rPr>
        <w:t>2</w:t>
      </w:r>
      <w:r>
        <w:rPr>
          <w:sz w:val="24"/>
        </w:rPr>
        <w:t xml:space="preserve"> data must be “advanced” in time such that the conductivity (salinity), temperature, oxygen, and nitrate data are correctly aligned relative to pressure.  The stations occupied during the 201</w:t>
      </w:r>
      <w:r w:rsidR="009427C2">
        <w:rPr>
          <w:sz w:val="24"/>
        </w:rPr>
        <w:t>4</w:t>
      </w:r>
      <w:r>
        <w:rPr>
          <w:sz w:val="24"/>
        </w:rPr>
        <w:t xml:space="preserve"> field season of the North Pole Environmental Observatory are </w:t>
      </w:r>
      <w:r w:rsidRPr="00827DCE">
        <w:rPr>
          <w:sz w:val="24"/>
        </w:rPr>
        <w:t>listed in Table 1.</w:t>
      </w:r>
      <w:r>
        <w:rPr>
          <w:sz w:val="24"/>
        </w:rPr>
        <w:t xml:space="preserve">  </w:t>
      </w:r>
      <w:r w:rsidRPr="00827DCE">
        <w:rPr>
          <w:sz w:val="24"/>
        </w:rPr>
        <w:t>The complete suite of NPEO 201</w:t>
      </w:r>
      <w:r w:rsidR="009427C2">
        <w:rPr>
          <w:sz w:val="24"/>
        </w:rPr>
        <w:t>4</w:t>
      </w:r>
      <w:r w:rsidRPr="00827DCE">
        <w:rPr>
          <w:sz w:val="24"/>
        </w:rPr>
        <w:t xml:space="preserve"> CTD data has been archived separately at CADIS. The files described below can be obtained at</w:t>
      </w:r>
      <w:proofErr w:type="gramStart"/>
      <w:r w:rsidRPr="00827DCE">
        <w:rPr>
          <w:sz w:val="24"/>
        </w:rPr>
        <w:t>:</w:t>
      </w:r>
      <w:r w:rsidRPr="00827DCE">
        <w:rPr>
          <w:color w:val="000000"/>
          <w:sz w:val="24"/>
          <w:u w:val="single"/>
        </w:rPr>
        <w:t xml:space="preserve">  </w:t>
      </w:r>
      <w:proofErr w:type="gramEnd"/>
      <w:r w:rsidR="000E0DD7">
        <w:fldChar w:fldCharType="begin"/>
      </w:r>
      <w:r w:rsidR="00D15AA0">
        <w:instrText>HYPERLINK "http://cdp.ucar.edu/browse/browse.htm?uri=http://dataportal.ucar.edu/metadata/cadis/cadis.thredds.xml"</w:instrText>
      </w:r>
      <w:r w:rsidR="000E0DD7">
        <w:fldChar w:fldCharType="separate"/>
      </w:r>
      <w:r w:rsidRPr="00827DCE">
        <w:rPr>
          <w:rStyle w:val="Hyperlink"/>
          <w:sz w:val="24"/>
        </w:rPr>
        <w:t>http://cdp.ucar.edu/browse/browse.htm?uri=http://dataportal.ucar.edu/metadata/cadis/cadis.thredds.xml</w:t>
      </w:r>
      <w:r w:rsidR="000E0DD7">
        <w:fldChar w:fldCharType="end"/>
      </w:r>
      <w:r w:rsidRPr="00827DCE">
        <w:rPr>
          <w:color w:val="000000"/>
          <w:sz w:val="24"/>
        </w:rPr>
        <w:t>.</w:t>
      </w:r>
      <w:r>
        <w:rPr>
          <w:sz w:val="24"/>
        </w:rPr>
        <w:t xml:space="preserve">  Further details regarding the alignment of the ISUS nitrate profiles are included in a separate README file accompanying those data.</w:t>
      </w:r>
    </w:p>
    <w:p w:rsidR="002C3A2B" w:rsidRPr="00827DCE" w:rsidRDefault="002C3A2B" w:rsidP="002C3A2B">
      <w:pPr>
        <w:rPr>
          <w:sz w:val="24"/>
        </w:rPr>
      </w:pPr>
      <w:r>
        <w:rPr>
          <w:sz w:val="24"/>
        </w:rPr>
        <w:tab/>
      </w:r>
      <w:r w:rsidRPr="00827DCE">
        <w:rPr>
          <w:sz w:val="24"/>
        </w:rPr>
        <w:t>Cast</w:t>
      </w:r>
      <w:r>
        <w:rPr>
          <w:sz w:val="24"/>
        </w:rPr>
        <w:t>s were begun by lowering the instrument package to a depth of ~15 meters to allow</w:t>
      </w:r>
      <w:r w:rsidRPr="00827DCE">
        <w:rPr>
          <w:sz w:val="24"/>
        </w:rPr>
        <w:t xml:space="preserve"> the instruments</w:t>
      </w:r>
      <w:r>
        <w:rPr>
          <w:sz w:val="24"/>
        </w:rPr>
        <w:t xml:space="preserve"> to come to ambient temperature while attempting to prevent any slush ice being pumped into the system.  The package was then brought back up to the near surface and six </w:t>
      </w:r>
      <w:proofErr w:type="spellStart"/>
      <w:r>
        <w:rPr>
          <w:sz w:val="24"/>
        </w:rPr>
        <w:t>Niskin</w:t>
      </w:r>
      <w:proofErr w:type="spellEnd"/>
      <w:r>
        <w:rPr>
          <w:sz w:val="24"/>
        </w:rPr>
        <w:t xml:space="preserve"> bottles were attached to the </w:t>
      </w:r>
      <w:proofErr w:type="spellStart"/>
      <w:r>
        <w:rPr>
          <w:sz w:val="24"/>
        </w:rPr>
        <w:t>hydrowire</w:t>
      </w:r>
      <w:proofErr w:type="spellEnd"/>
      <w:r>
        <w:rPr>
          <w:sz w:val="24"/>
        </w:rPr>
        <w:t xml:space="preserve"> at successive intervals in order to sample the seawater at different target depths (20, 50, 75, 100, 150, and 30</w:t>
      </w:r>
      <w:r w:rsidR="009C76AB">
        <w:rPr>
          <w:sz w:val="24"/>
        </w:rPr>
        <w:t xml:space="preserve">0 m).  Once the </w:t>
      </w:r>
      <w:proofErr w:type="spellStart"/>
      <w:r w:rsidR="009C76AB">
        <w:rPr>
          <w:sz w:val="24"/>
        </w:rPr>
        <w:t>Niskin</w:t>
      </w:r>
      <w:proofErr w:type="spellEnd"/>
      <w:r w:rsidR="009C76AB">
        <w:rPr>
          <w:sz w:val="24"/>
        </w:rPr>
        <w:t xml:space="preserve"> bottles we</w:t>
      </w:r>
      <w:r>
        <w:rPr>
          <w:sz w:val="24"/>
        </w:rPr>
        <w:t>re in posi</w:t>
      </w:r>
      <w:r w:rsidR="009C76AB">
        <w:rPr>
          <w:sz w:val="24"/>
        </w:rPr>
        <w:t>tion, a soak time of 5 minutes wa</w:t>
      </w:r>
      <w:r>
        <w:rPr>
          <w:sz w:val="24"/>
        </w:rPr>
        <w:t>s allowed before tripping the bottl</w:t>
      </w:r>
      <w:r w:rsidR="009C76AB">
        <w:rPr>
          <w:sz w:val="24"/>
        </w:rPr>
        <w:t>es via messenger.  The bottles we</w:t>
      </w:r>
      <w:r>
        <w:rPr>
          <w:sz w:val="24"/>
        </w:rPr>
        <w:t>re brought back up to the surface and sub-sampled for a variety of chemical variables.  This portion of the cast is referred to as the “bottle cast” and is removed from the archived data files</w:t>
      </w:r>
      <w:r w:rsidR="009C76AB">
        <w:rPr>
          <w:sz w:val="24"/>
        </w:rPr>
        <w:t xml:space="preserve">.  Once the last </w:t>
      </w:r>
      <w:proofErr w:type="spellStart"/>
      <w:r w:rsidR="009C76AB">
        <w:rPr>
          <w:sz w:val="24"/>
        </w:rPr>
        <w:t>Niskin</w:t>
      </w:r>
      <w:proofErr w:type="spellEnd"/>
      <w:r w:rsidR="009C76AB">
        <w:rPr>
          <w:sz w:val="24"/>
        </w:rPr>
        <w:t xml:space="preserve"> bottle wa</w:t>
      </w:r>
      <w:r>
        <w:rPr>
          <w:sz w:val="24"/>
        </w:rPr>
        <w:t>s remove</w:t>
      </w:r>
      <w:r w:rsidR="009C76AB">
        <w:rPr>
          <w:sz w:val="24"/>
        </w:rPr>
        <w:t xml:space="preserve">d from the </w:t>
      </w:r>
      <w:proofErr w:type="spellStart"/>
      <w:r w:rsidR="009C76AB">
        <w:rPr>
          <w:sz w:val="24"/>
        </w:rPr>
        <w:t>hydrowire</w:t>
      </w:r>
      <w:proofErr w:type="spellEnd"/>
      <w:r w:rsidR="009C76AB">
        <w:rPr>
          <w:sz w:val="24"/>
        </w:rPr>
        <w:t xml:space="preserve"> the winch wa</w:t>
      </w:r>
      <w:r>
        <w:rPr>
          <w:sz w:val="24"/>
        </w:rPr>
        <w:t>s re-zeroe</w:t>
      </w:r>
      <w:r w:rsidR="009C76AB">
        <w:rPr>
          <w:sz w:val="24"/>
        </w:rPr>
        <w:t>d while the instrument package wa</w:t>
      </w:r>
      <w:r>
        <w:rPr>
          <w:sz w:val="24"/>
        </w:rPr>
        <w:t xml:space="preserve">s </w:t>
      </w:r>
      <w:r w:rsidR="009C76AB">
        <w:rPr>
          <w:sz w:val="24"/>
        </w:rPr>
        <w:t>near the surface.  The package wa</w:t>
      </w:r>
      <w:r>
        <w:rPr>
          <w:sz w:val="24"/>
        </w:rPr>
        <w:t>s then lowered through the water column.  This portion of the data record is referred to as the “down</w:t>
      </w:r>
      <w:r w:rsidR="009C76AB">
        <w:rPr>
          <w:sz w:val="24"/>
        </w:rPr>
        <w:t>cast”.  Once the package reached 800-900 m, the winch was stopped and the package</w:t>
      </w:r>
      <w:r>
        <w:rPr>
          <w:sz w:val="24"/>
        </w:rPr>
        <w:t xml:space="preserve"> brought back up to the surface.  This portion of the cast is referred to as the “</w:t>
      </w:r>
      <w:proofErr w:type="spellStart"/>
      <w:r>
        <w:rPr>
          <w:sz w:val="24"/>
        </w:rPr>
        <w:t>upcast</w:t>
      </w:r>
      <w:proofErr w:type="spellEnd"/>
      <w:r>
        <w:rPr>
          <w:sz w:val="24"/>
        </w:rPr>
        <w:t xml:space="preserve">”.  </w:t>
      </w:r>
      <w:r w:rsidRPr="00827DCE">
        <w:rPr>
          <w:sz w:val="24"/>
        </w:rPr>
        <w:t xml:space="preserve">The initial parts of the data during which the CTD was lowered, equilibrated, and raised to the surface have been truncated from the final data files.  The final data set reported for each station set consists of either downcast or </w:t>
      </w:r>
      <w:r w:rsidR="009427C2">
        <w:rPr>
          <w:sz w:val="24"/>
        </w:rPr>
        <w:t xml:space="preserve">a combination of downcast and </w:t>
      </w:r>
      <w:proofErr w:type="spellStart"/>
      <w:r w:rsidRPr="00827DCE">
        <w:rPr>
          <w:sz w:val="24"/>
        </w:rPr>
        <w:t>upcast</w:t>
      </w:r>
      <w:proofErr w:type="spellEnd"/>
      <w:r w:rsidRPr="00827DCE">
        <w:rPr>
          <w:sz w:val="24"/>
        </w:rPr>
        <w:t xml:space="preserve"> data according to the quality of the data collected (see Table 1). </w:t>
      </w:r>
    </w:p>
    <w:p w:rsidR="004A5AF2" w:rsidRDefault="004A5AF2"/>
    <w:p w:rsidR="004A5AF2" w:rsidRDefault="004A5AF2">
      <w:r>
        <w:tab/>
      </w:r>
    </w:p>
    <w:p w:rsidR="004A5AF2" w:rsidRDefault="004A5AF2"/>
    <w:p w:rsidR="004A5AF2" w:rsidRDefault="004A5AF2"/>
    <w:p w:rsidR="004A5AF2" w:rsidRDefault="004A5AF2"/>
    <w:p w:rsidR="004A5AF2" w:rsidRDefault="004A5AF2"/>
    <w:p w:rsidR="004A5AF2" w:rsidRDefault="004A5AF2"/>
    <w:p w:rsidR="004A5AF2" w:rsidRPr="00615D36" w:rsidRDefault="004A5AF2">
      <w:pPr>
        <w:rPr>
          <w:sz w:val="24"/>
        </w:rPr>
      </w:pPr>
      <w:r w:rsidRPr="00615D36">
        <w:rPr>
          <w:b/>
          <w:sz w:val="24"/>
        </w:rPr>
        <w:t>Table 1.</w:t>
      </w:r>
      <w:r w:rsidRPr="00615D36">
        <w:rPr>
          <w:sz w:val="24"/>
        </w:rPr>
        <w:t xml:space="preserve">  Stations occupied during NPEO 2014.  The serial numbers of the CTD instrument and SBE43 oxygen sensor deployed </w:t>
      </w:r>
      <w:r w:rsidR="00615D36" w:rsidRPr="00615D36">
        <w:rPr>
          <w:sz w:val="24"/>
        </w:rPr>
        <w:t xml:space="preserve">at each station is listed.  The data reported for each cast was either restricted to the downcast or, in some cases, both downcast and </w:t>
      </w:r>
      <w:proofErr w:type="spellStart"/>
      <w:r w:rsidR="00615D36" w:rsidRPr="00615D36">
        <w:rPr>
          <w:sz w:val="24"/>
        </w:rPr>
        <w:t>upcast</w:t>
      </w:r>
      <w:proofErr w:type="spellEnd"/>
      <w:r w:rsidR="00615D36" w:rsidRPr="00615D36">
        <w:rPr>
          <w:sz w:val="24"/>
        </w:rPr>
        <w:t xml:space="preserve"> data were used (see text for details).</w:t>
      </w:r>
    </w:p>
    <w:tbl>
      <w:tblPr>
        <w:tblW w:w="8545" w:type="dxa"/>
        <w:tblInd w:w="95" w:type="dxa"/>
        <w:tblLook w:val="0000"/>
      </w:tblPr>
      <w:tblGrid>
        <w:gridCol w:w="830"/>
        <w:gridCol w:w="1256"/>
        <w:gridCol w:w="1978"/>
        <w:gridCol w:w="750"/>
        <w:gridCol w:w="1657"/>
        <w:gridCol w:w="2074"/>
      </w:tblGrid>
      <w:tr w:rsidR="004A5AF2" w:rsidRPr="004A5AF2">
        <w:trPr>
          <w:trHeight w:val="300"/>
        </w:trPr>
        <w:tc>
          <w:tcPr>
            <w:tcW w:w="830" w:type="dxa"/>
            <w:tcBorders>
              <w:top w:val="single" w:sz="4" w:space="0" w:color="auto"/>
              <w:left w:val="single" w:sz="4" w:space="0" w:color="auto"/>
              <w:bottom w:val="nil"/>
              <w:right w:val="nil"/>
            </w:tcBorders>
            <w:shd w:val="clear" w:color="auto" w:fill="auto"/>
            <w:noWrap/>
            <w:vAlign w:val="bottom"/>
          </w:tcPr>
          <w:p w:rsidR="00615D36" w:rsidRPr="00615D36" w:rsidRDefault="004A5AF2" w:rsidP="004A5AF2">
            <w:pPr>
              <w:jc w:val="center"/>
              <w:rPr>
                <w:rFonts w:ascii="Arial" w:hAnsi="Arial"/>
                <w:b/>
                <w:bCs/>
                <w:sz w:val="20"/>
              </w:rPr>
            </w:pPr>
            <w:r w:rsidRPr="00615D36">
              <w:rPr>
                <w:rFonts w:ascii="Arial" w:hAnsi="Arial"/>
                <w:b/>
                <w:bCs/>
                <w:sz w:val="20"/>
              </w:rPr>
              <w:t>Cast</w:t>
            </w:r>
          </w:p>
          <w:p w:rsidR="004A5AF2" w:rsidRPr="00615D36" w:rsidRDefault="004A5AF2" w:rsidP="004A5AF2">
            <w:pPr>
              <w:jc w:val="center"/>
              <w:rPr>
                <w:rFonts w:ascii="Arial" w:hAnsi="Arial"/>
                <w:b/>
                <w:bCs/>
                <w:sz w:val="20"/>
              </w:rPr>
            </w:pPr>
          </w:p>
        </w:tc>
        <w:tc>
          <w:tcPr>
            <w:tcW w:w="1256" w:type="dxa"/>
            <w:tcBorders>
              <w:top w:val="single" w:sz="4" w:space="0" w:color="auto"/>
              <w:left w:val="nil"/>
              <w:bottom w:val="nil"/>
              <w:right w:val="nil"/>
            </w:tcBorders>
            <w:shd w:val="clear" w:color="auto" w:fill="auto"/>
            <w:noWrap/>
            <w:vAlign w:val="bottom"/>
          </w:tcPr>
          <w:p w:rsidR="00615D36" w:rsidRPr="00615D36" w:rsidRDefault="004A5AF2" w:rsidP="004A5AF2">
            <w:pPr>
              <w:jc w:val="center"/>
              <w:rPr>
                <w:rFonts w:ascii="Arial" w:hAnsi="Arial"/>
                <w:b/>
                <w:bCs/>
                <w:sz w:val="20"/>
              </w:rPr>
            </w:pPr>
            <w:r w:rsidRPr="00615D36">
              <w:rPr>
                <w:rFonts w:ascii="Arial" w:hAnsi="Arial"/>
                <w:b/>
                <w:bCs/>
                <w:sz w:val="20"/>
              </w:rPr>
              <w:t>Date</w:t>
            </w:r>
          </w:p>
          <w:p w:rsidR="004A5AF2" w:rsidRPr="00615D36" w:rsidRDefault="004A5AF2" w:rsidP="004A5AF2">
            <w:pPr>
              <w:jc w:val="center"/>
              <w:rPr>
                <w:rFonts w:ascii="Arial" w:hAnsi="Arial"/>
                <w:b/>
                <w:bCs/>
                <w:sz w:val="20"/>
              </w:rPr>
            </w:pPr>
          </w:p>
        </w:tc>
        <w:tc>
          <w:tcPr>
            <w:tcW w:w="1978" w:type="dxa"/>
            <w:tcBorders>
              <w:top w:val="single" w:sz="4" w:space="0" w:color="auto"/>
              <w:left w:val="nil"/>
              <w:bottom w:val="nil"/>
              <w:right w:val="nil"/>
            </w:tcBorders>
            <w:shd w:val="clear" w:color="auto" w:fill="auto"/>
            <w:noWrap/>
            <w:vAlign w:val="bottom"/>
          </w:tcPr>
          <w:p w:rsidR="00615D36" w:rsidRPr="00615D36" w:rsidRDefault="004A5AF2" w:rsidP="004A5AF2">
            <w:pPr>
              <w:jc w:val="center"/>
              <w:rPr>
                <w:rFonts w:ascii="Arial" w:hAnsi="Arial"/>
                <w:b/>
                <w:bCs/>
                <w:sz w:val="20"/>
              </w:rPr>
            </w:pPr>
            <w:r w:rsidRPr="00615D36">
              <w:rPr>
                <w:rFonts w:ascii="Arial" w:hAnsi="Arial"/>
                <w:b/>
                <w:bCs/>
                <w:sz w:val="20"/>
              </w:rPr>
              <w:t>Station</w:t>
            </w:r>
          </w:p>
          <w:p w:rsidR="004A5AF2" w:rsidRPr="00615D36" w:rsidRDefault="004A5AF2" w:rsidP="004A5AF2">
            <w:pPr>
              <w:jc w:val="center"/>
              <w:rPr>
                <w:rFonts w:ascii="Arial" w:hAnsi="Arial"/>
                <w:b/>
                <w:bCs/>
                <w:sz w:val="20"/>
              </w:rPr>
            </w:pPr>
          </w:p>
        </w:tc>
        <w:tc>
          <w:tcPr>
            <w:tcW w:w="750" w:type="dxa"/>
            <w:tcBorders>
              <w:top w:val="single" w:sz="4" w:space="0" w:color="auto"/>
              <w:left w:val="nil"/>
              <w:bottom w:val="nil"/>
              <w:right w:val="nil"/>
            </w:tcBorders>
            <w:shd w:val="clear" w:color="auto" w:fill="auto"/>
            <w:noWrap/>
            <w:vAlign w:val="bottom"/>
          </w:tcPr>
          <w:p w:rsidR="00615D36" w:rsidRPr="00615D36" w:rsidRDefault="004A5AF2" w:rsidP="004A5AF2">
            <w:pPr>
              <w:jc w:val="center"/>
              <w:rPr>
                <w:rFonts w:ascii="Arial" w:hAnsi="Arial"/>
                <w:b/>
                <w:bCs/>
                <w:sz w:val="20"/>
              </w:rPr>
            </w:pPr>
            <w:r w:rsidRPr="00615D36">
              <w:rPr>
                <w:rFonts w:ascii="Arial" w:hAnsi="Arial"/>
                <w:b/>
                <w:bCs/>
                <w:sz w:val="20"/>
              </w:rPr>
              <w:t>CTD</w:t>
            </w:r>
          </w:p>
          <w:p w:rsidR="004A5AF2" w:rsidRPr="00615D36" w:rsidRDefault="004A5AF2" w:rsidP="004A5AF2">
            <w:pPr>
              <w:jc w:val="center"/>
              <w:rPr>
                <w:rFonts w:ascii="Arial" w:hAnsi="Arial"/>
                <w:b/>
                <w:bCs/>
                <w:sz w:val="20"/>
              </w:rPr>
            </w:pPr>
          </w:p>
        </w:tc>
        <w:tc>
          <w:tcPr>
            <w:tcW w:w="1657" w:type="dxa"/>
            <w:tcBorders>
              <w:top w:val="single" w:sz="4" w:space="0" w:color="auto"/>
              <w:left w:val="nil"/>
              <w:bottom w:val="nil"/>
              <w:right w:val="nil"/>
            </w:tcBorders>
            <w:shd w:val="clear" w:color="auto" w:fill="auto"/>
            <w:noWrap/>
            <w:vAlign w:val="bottom"/>
          </w:tcPr>
          <w:p w:rsidR="00615D36" w:rsidRPr="00615D36" w:rsidRDefault="004A5AF2" w:rsidP="004A5AF2">
            <w:pPr>
              <w:jc w:val="center"/>
              <w:rPr>
                <w:rFonts w:ascii="Arial" w:hAnsi="Arial"/>
                <w:b/>
                <w:bCs/>
                <w:sz w:val="20"/>
              </w:rPr>
            </w:pPr>
            <w:r w:rsidRPr="00615D36">
              <w:rPr>
                <w:rFonts w:ascii="Arial" w:hAnsi="Arial"/>
                <w:b/>
                <w:bCs/>
                <w:sz w:val="20"/>
              </w:rPr>
              <w:t>SBE43</w:t>
            </w:r>
          </w:p>
          <w:p w:rsidR="004A5AF2" w:rsidRPr="00615D36" w:rsidRDefault="004A5AF2" w:rsidP="004A5AF2">
            <w:pPr>
              <w:jc w:val="center"/>
              <w:rPr>
                <w:rFonts w:ascii="Arial" w:hAnsi="Arial"/>
                <w:b/>
                <w:bCs/>
                <w:sz w:val="20"/>
              </w:rPr>
            </w:pPr>
          </w:p>
        </w:tc>
        <w:tc>
          <w:tcPr>
            <w:tcW w:w="2074" w:type="dxa"/>
            <w:tcBorders>
              <w:top w:val="single" w:sz="4" w:space="0" w:color="auto"/>
              <w:left w:val="nil"/>
              <w:bottom w:val="nil"/>
              <w:right w:val="single" w:sz="4" w:space="0" w:color="auto"/>
            </w:tcBorders>
            <w:shd w:val="clear" w:color="auto" w:fill="auto"/>
            <w:noWrap/>
            <w:vAlign w:val="bottom"/>
          </w:tcPr>
          <w:p w:rsidR="00615D36" w:rsidRDefault="004A5AF2" w:rsidP="004A5AF2">
            <w:pPr>
              <w:jc w:val="center"/>
              <w:rPr>
                <w:rFonts w:ascii="Arial" w:hAnsi="Arial"/>
                <w:b/>
                <w:bCs/>
                <w:sz w:val="20"/>
              </w:rPr>
            </w:pPr>
            <w:r w:rsidRPr="00615D36">
              <w:rPr>
                <w:rFonts w:ascii="Arial" w:hAnsi="Arial"/>
                <w:b/>
                <w:bCs/>
                <w:sz w:val="20"/>
              </w:rPr>
              <w:t>Down or up cast?</w:t>
            </w:r>
          </w:p>
          <w:p w:rsidR="004A5AF2" w:rsidRPr="00615D36" w:rsidRDefault="004A5AF2" w:rsidP="004A5AF2">
            <w:pPr>
              <w:jc w:val="center"/>
              <w:rPr>
                <w:rFonts w:ascii="Arial" w:hAnsi="Arial"/>
                <w:b/>
                <w:bCs/>
                <w:sz w:val="20"/>
              </w:rPr>
            </w:pPr>
          </w:p>
        </w:tc>
      </w:tr>
      <w:tr w:rsidR="004A5AF2" w:rsidRPr="004A5AF2">
        <w:trPr>
          <w:trHeight w:val="300"/>
        </w:trPr>
        <w:tc>
          <w:tcPr>
            <w:tcW w:w="830" w:type="dxa"/>
            <w:tcBorders>
              <w:top w:val="nil"/>
              <w:left w:val="single" w:sz="4" w:space="0" w:color="auto"/>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1</w:t>
            </w:r>
          </w:p>
        </w:tc>
        <w:tc>
          <w:tcPr>
            <w:tcW w:w="1256" w:type="dxa"/>
            <w:tcBorders>
              <w:top w:val="nil"/>
              <w:left w:val="nil"/>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12-Apr-14</w:t>
            </w:r>
          </w:p>
        </w:tc>
        <w:tc>
          <w:tcPr>
            <w:tcW w:w="1978" w:type="dxa"/>
            <w:tcBorders>
              <w:top w:val="nil"/>
              <w:left w:val="nil"/>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89N, 13E (Brno 1)</w:t>
            </w:r>
          </w:p>
        </w:tc>
        <w:tc>
          <w:tcPr>
            <w:tcW w:w="750" w:type="dxa"/>
            <w:tcBorders>
              <w:top w:val="nil"/>
              <w:left w:val="nil"/>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5076</w:t>
            </w:r>
          </w:p>
        </w:tc>
        <w:tc>
          <w:tcPr>
            <w:tcW w:w="1657" w:type="dxa"/>
            <w:tcBorders>
              <w:top w:val="nil"/>
              <w:left w:val="nil"/>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1406</w:t>
            </w:r>
          </w:p>
        </w:tc>
        <w:tc>
          <w:tcPr>
            <w:tcW w:w="2074" w:type="dxa"/>
            <w:tcBorders>
              <w:top w:val="nil"/>
              <w:left w:val="nil"/>
              <w:bottom w:val="nil"/>
              <w:right w:val="single" w:sz="4" w:space="0" w:color="auto"/>
            </w:tcBorders>
            <w:shd w:val="clear" w:color="auto" w:fill="auto"/>
            <w:noWrap/>
            <w:vAlign w:val="bottom"/>
          </w:tcPr>
          <w:p w:rsidR="004A5AF2" w:rsidRPr="00615D36" w:rsidRDefault="004A5AF2" w:rsidP="004A5AF2">
            <w:pPr>
              <w:jc w:val="center"/>
              <w:rPr>
                <w:rFonts w:ascii="Arial" w:hAnsi="Arial"/>
                <w:sz w:val="20"/>
              </w:rPr>
            </w:pPr>
            <w:proofErr w:type="gramStart"/>
            <w:r w:rsidRPr="00615D36">
              <w:rPr>
                <w:rFonts w:ascii="Arial" w:hAnsi="Arial"/>
                <w:sz w:val="20"/>
              </w:rPr>
              <w:t>down</w:t>
            </w:r>
            <w:proofErr w:type="gramEnd"/>
          </w:p>
        </w:tc>
      </w:tr>
      <w:tr w:rsidR="004A5AF2" w:rsidRPr="004A5AF2">
        <w:trPr>
          <w:trHeight w:val="300"/>
        </w:trPr>
        <w:tc>
          <w:tcPr>
            <w:tcW w:w="830" w:type="dxa"/>
            <w:tcBorders>
              <w:top w:val="nil"/>
              <w:left w:val="single" w:sz="4" w:space="0" w:color="auto"/>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2</w:t>
            </w:r>
          </w:p>
        </w:tc>
        <w:tc>
          <w:tcPr>
            <w:tcW w:w="1256" w:type="dxa"/>
            <w:tcBorders>
              <w:top w:val="nil"/>
              <w:left w:val="nil"/>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15-Apr-14</w:t>
            </w:r>
          </w:p>
        </w:tc>
        <w:tc>
          <w:tcPr>
            <w:tcW w:w="1978" w:type="dxa"/>
            <w:tcBorders>
              <w:top w:val="nil"/>
              <w:left w:val="nil"/>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87N, 180</w:t>
            </w:r>
          </w:p>
        </w:tc>
        <w:tc>
          <w:tcPr>
            <w:tcW w:w="750" w:type="dxa"/>
            <w:tcBorders>
              <w:top w:val="nil"/>
              <w:left w:val="nil"/>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5076</w:t>
            </w:r>
          </w:p>
        </w:tc>
        <w:tc>
          <w:tcPr>
            <w:tcW w:w="1657" w:type="dxa"/>
            <w:tcBorders>
              <w:top w:val="nil"/>
              <w:left w:val="nil"/>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1406</w:t>
            </w:r>
          </w:p>
        </w:tc>
        <w:tc>
          <w:tcPr>
            <w:tcW w:w="2074" w:type="dxa"/>
            <w:tcBorders>
              <w:top w:val="nil"/>
              <w:left w:val="nil"/>
              <w:bottom w:val="nil"/>
              <w:right w:val="single" w:sz="4" w:space="0" w:color="auto"/>
            </w:tcBorders>
            <w:shd w:val="clear" w:color="auto" w:fill="auto"/>
            <w:noWrap/>
            <w:vAlign w:val="bottom"/>
          </w:tcPr>
          <w:p w:rsidR="004A5AF2" w:rsidRPr="00615D36" w:rsidRDefault="00235E7B" w:rsidP="004A5AF2">
            <w:pPr>
              <w:jc w:val="center"/>
              <w:rPr>
                <w:rFonts w:ascii="Arial" w:hAnsi="Arial"/>
                <w:sz w:val="20"/>
              </w:rPr>
            </w:pPr>
            <w:proofErr w:type="gramStart"/>
            <w:r>
              <w:rPr>
                <w:rFonts w:ascii="Arial" w:hAnsi="Arial"/>
                <w:sz w:val="20"/>
              </w:rPr>
              <w:t>both</w:t>
            </w:r>
            <w:proofErr w:type="gramEnd"/>
          </w:p>
        </w:tc>
      </w:tr>
      <w:tr w:rsidR="004A5AF2" w:rsidRPr="004A5AF2">
        <w:trPr>
          <w:trHeight w:val="300"/>
        </w:trPr>
        <w:tc>
          <w:tcPr>
            <w:tcW w:w="830" w:type="dxa"/>
            <w:tcBorders>
              <w:top w:val="nil"/>
              <w:left w:val="single" w:sz="4" w:space="0" w:color="auto"/>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3</w:t>
            </w:r>
          </w:p>
        </w:tc>
        <w:tc>
          <w:tcPr>
            <w:tcW w:w="1256" w:type="dxa"/>
            <w:tcBorders>
              <w:top w:val="nil"/>
              <w:left w:val="nil"/>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16-Apr-14</w:t>
            </w:r>
          </w:p>
        </w:tc>
        <w:tc>
          <w:tcPr>
            <w:tcW w:w="1978" w:type="dxa"/>
            <w:tcBorders>
              <w:top w:val="nil"/>
              <w:left w:val="nil"/>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87N, 90E</w:t>
            </w:r>
          </w:p>
        </w:tc>
        <w:tc>
          <w:tcPr>
            <w:tcW w:w="750" w:type="dxa"/>
            <w:tcBorders>
              <w:top w:val="nil"/>
              <w:left w:val="nil"/>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5076</w:t>
            </w:r>
          </w:p>
        </w:tc>
        <w:tc>
          <w:tcPr>
            <w:tcW w:w="1657" w:type="dxa"/>
            <w:tcBorders>
              <w:top w:val="nil"/>
              <w:left w:val="nil"/>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1406</w:t>
            </w:r>
          </w:p>
        </w:tc>
        <w:tc>
          <w:tcPr>
            <w:tcW w:w="2074" w:type="dxa"/>
            <w:tcBorders>
              <w:top w:val="nil"/>
              <w:left w:val="nil"/>
              <w:bottom w:val="nil"/>
              <w:right w:val="single" w:sz="4" w:space="0" w:color="auto"/>
            </w:tcBorders>
            <w:shd w:val="clear" w:color="auto" w:fill="auto"/>
            <w:noWrap/>
            <w:vAlign w:val="bottom"/>
          </w:tcPr>
          <w:p w:rsidR="004A5AF2" w:rsidRPr="00615D36" w:rsidRDefault="004A5AF2" w:rsidP="004A5AF2">
            <w:pPr>
              <w:jc w:val="center"/>
              <w:rPr>
                <w:rFonts w:ascii="Arial" w:hAnsi="Arial"/>
                <w:sz w:val="20"/>
              </w:rPr>
            </w:pPr>
            <w:proofErr w:type="gramStart"/>
            <w:r w:rsidRPr="00615D36">
              <w:rPr>
                <w:rFonts w:ascii="Arial" w:hAnsi="Arial"/>
                <w:sz w:val="20"/>
              </w:rPr>
              <w:t>both</w:t>
            </w:r>
            <w:proofErr w:type="gramEnd"/>
          </w:p>
        </w:tc>
      </w:tr>
      <w:tr w:rsidR="004A5AF2" w:rsidRPr="004A5AF2">
        <w:trPr>
          <w:trHeight w:val="300"/>
        </w:trPr>
        <w:tc>
          <w:tcPr>
            <w:tcW w:w="830" w:type="dxa"/>
            <w:tcBorders>
              <w:top w:val="nil"/>
              <w:left w:val="single" w:sz="4" w:space="0" w:color="auto"/>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4</w:t>
            </w:r>
          </w:p>
        </w:tc>
        <w:tc>
          <w:tcPr>
            <w:tcW w:w="1256" w:type="dxa"/>
            <w:tcBorders>
              <w:top w:val="nil"/>
              <w:left w:val="nil"/>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16-Apr-14</w:t>
            </w:r>
          </w:p>
        </w:tc>
        <w:tc>
          <w:tcPr>
            <w:tcW w:w="1978" w:type="dxa"/>
            <w:tcBorders>
              <w:top w:val="nil"/>
              <w:left w:val="nil"/>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89N, 16E (Brno 2)</w:t>
            </w:r>
          </w:p>
        </w:tc>
        <w:tc>
          <w:tcPr>
            <w:tcW w:w="750" w:type="dxa"/>
            <w:tcBorders>
              <w:top w:val="nil"/>
              <w:left w:val="nil"/>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5076</w:t>
            </w:r>
          </w:p>
        </w:tc>
        <w:tc>
          <w:tcPr>
            <w:tcW w:w="1657" w:type="dxa"/>
            <w:tcBorders>
              <w:top w:val="nil"/>
              <w:left w:val="nil"/>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1406</w:t>
            </w:r>
          </w:p>
        </w:tc>
        <w:tc>
          <w:tcPr>
            <w:tcW w:w="2074" w:type="dxa"/>
            <w:tcBorders>
              <w:top w:val="nil"/>
              <w:left w:val="nil"/>
              <w:bottom w:val="nil"/>
              <w:right w:val="single" w:sz="4" w:space="0" w:color="auto"/>
            </w:tcBorders>
            <w:shd w:val="clear" w:color="auto" w:fill="auto"/>
            <w:noWrap/>
            <w:vAlign w:val="bottom"/>
          </w:tcPr>
          <w:p w:rsidR="004A5AF2" w:rsidRPr="00615D36" w:rsidRDefault="004A5AF2" w:rsidP="004A5AF2">
            <w:pPr>
              <w:jc w:val="center"/>
              <w:rPr>
                <w:rFonts w:ascii="Arial" w:hAnsi="Arial"/>
                <w:sz w:val="20"/>
              </w:rPr>
            </w:pPr>
            <w:proofErr w:type="gramStart"/>
            <w:r w:rsidRPr="00615D36">
              <w:rPr>
                <w:rFonts w:ascii="Arial" w:hAnsi="Arial"/>
                <w:sz w:val="20"/>
              </w:rPr>
              <w:t>both</w:t>
            </w:r>
            <w:proofErr w:type="gramEnd"/>
          </w:p>
        </w:tc>
      </w:tr>
      <w:tr w:rsidR="004A5AF2" w:rsidRPr="004A5AF2">
        <w:trPr>
          <w:trHeight w:val="300"/>
        </w:trPr>
        <w:tc>
          <w:tcPr>
            <w:tcW w:w="830" w:type="dxa"/>
            <w:tcBorders>
              <w:top w:val="nil"/>
              <w:left w:val="single" w:sz="4" w:space="0" w:color="auto"/>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5</w:t>
            </w:r>
          </w:p>
        </w:tc>
        <w:tc>
          <w:tcPr>
            <w:tcW w:w="1256" w:type="dxa"/>
            <w:tcBorders>
              <w:top w:val="nil"/>
              <w:left w:val="nil"/>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17-Apr-14</w:t>
            </w:r>
          </w:p>
        </w:tc>
        <w:tc>
          <w:tcPr>
            <w:tcW w:w="1978" w:type="dxa"/>
            <w:tcBorders>
              <w:top w:val="nil"/>
              <w:left w:val="nil"/>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85N, 90E</w:t>
            </w:r>
          </w:p>
        </w:tc>
        <w:tc>
          <w:tcPr>
            <w:tcW w:w="750" w:type="dxa"/>
            <w:tcBorders>
              <w:top w:val="nil"/>
              <w:left w:val="nil"/>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5076</w:t>
            </w:r>
          </w:p>
        </w:tc>
        <w:tc>
          <w:tcPr>
            <w:tcW w:w="1657" w:type="dxa"/>
            <w:tcBorders>
              <w:top w:val="nil"/>
              <w:left w:val="nil"/>
              <w:bottom w:val="nil"/>
              <w:right w:val="nil"/>
            </w:tcBorders>
            <w:shd w:val="clear" w:color="auto" w:fill="auto"/>
            <w:noWrap/>
            <w:vAlign w:val="bottom"/>
          </w:tcPr>
          <w:p w:rsidR="004A5AF2" w:rsidRPr="00615D36" w:rsidRDefault="00285429" w:rsidP="004A5AF2">
            <w:pPr>
              <w:jc w:val="center"/>
              <w:rPr>
                <w:rFonts w:ascii="Arial" w:hAnsi="Arial"/>
                <w:sz w:val="20"/>
              </w:rPr>
            </w:pPr>
            <w:r>
              <w:rPr>
                <w:rFonts w:ascii="Arial" w:hAnsi="Arial"/>
                <w:sz w:val="20"/>
              </w:rPr>
              <w:t>0</w:t>
            </w:r>
            <w:r w:rsidR="004A5AF2" w:rsidRPr="00615D36">
              <w:rPr>
                <w:rFonts w:ascii="Arial" w:hAnsi="Arial"/>
                <w:sz w:val="20"/>
              </w:rPr>
              <w:t>938</w:t>
            </w:r>
          </w:p>
        </w:tc>
        <w:tc>
          <w:tcPr>
            <w:tcW w:w="2074" w:type="dxa"/>
            <w:tcBorders>
              <w:top w:val="nil"/>
              <w:left w:val="nil"/>
              <w:bottom w:val="nil"/>
              <w:right w:val="single" w:sz="4" w:space="0" w:color="auto"/>
            </w:tcBorders>
            <w:shd w:val="clear" w:color="auto" w:fill="auto"/>
            <w:noWrap/>
            <w:vAlign w:val="bottom"/>
          </w:tcPr>
          <w:p w:rsidR="004A5AF2" w:rsidRPr="00615D36" w:rsidRDefault="004A5AF2" w:rsidP="004A5AF2">
            <w:pPr>
              <w:jc w:val="center"/>
              <w:rPr>
                <w:rFonts w:ascii="Arial" w:hAnsi="Arial"/>
                <w:sz w:val="20"/>
              </w:rPr>
            </w:pPr>
            <w:proofErr w:type="gramStart"/>
            <w:r w:rsidRPr="00615D36">
              <w:rPr>
                <w:rFonts w:ascii="Arial" w:hAnsi="Arial"/>
                <w:sz w:val="20"/>
              </w:rPr>
              <w:t>both</w:t>
            </w:r>
            <w:proofErr w:type="gramEnd"/>
          </w:p>
        </w:tc>
      </w:tr>
      <w:tr w:rsidR="004A5AF2" w:rsidRPr="004A5AF2">
        <w:trPr>
          <w:trHeight w:val="300"/>
        </w:trPr>
        <w:tc>
          <w:tcPr>
            <w:tcW w:w="830" w:type="dxa"/>
            <w:tcBorders>
              <w:top w:val="nil"/>
              <w:left w:val="single" w:sz="4" w:space="0" w:color="auto"/>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6</w:t>
            </w:r>
          </w:p>
        </w:tc>
        <w:tc>
          <w:tcPr>
            <w:tcW w:w="1256" w:type="dxa"/>
            <w:tcBorders>
              <w:top w:val="nil"/>
              <w:left w:val="nil"/>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17-Apr-14</w:t>
            </w:r>
          </w:p>
        </w:tc>
        <w:tc>
          <w:tcPr>
            <w:tcW w:w="1978" w:type="dxa"/>
            <w:tcBorders>
              <w:top w:val="nil"/>
              <w:left w:val="nil"/>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86N, 90E</w:t>
            </w:r>
          </w:p>
        </w:tc>
        <w:tc>
          <w:tcPr>
            <w:tcW w:w="750" w:type="dxa"/>
            <w:tcBorders>
              <w:top w:val="nil"/>
              <w:left w:val="nil"/>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5076</w:t>
            </w:r>
          </w:p>
        </w:tc>
        <w:tc>
          <w:tcPr>
            <w:tcW w:w="1657" w:type="dxa"/>
            <w:tcBorders>
              <w:top w:val="nil"/>
              <w:left w:val="nil"/>
              <w:bottom w:val="nil"/>
              <w:right w:val="nil"/>
            </w:tcBorders>
            <w:shd w:val="clear" w:color="auto" w:fill="auto"/>
            <w:noWrap/>
            <w:vAlign w:val="bottom"/>
          </w:tcPr>
          <w:p w:rsidR="004A5AF2" w:rsidRPr="00615D36" w:rsidRDefault="00285429" w:rsidP="004A5AF2">
            <w:pPr>
              <w:jc w:val="center"/>
              <w:rPr>
                <w:rFonts w:ascii="Arial" w:hAnsi="Arial"/>
                <w:sz w:val="20"/>
              </w:rPr>
            </w:pPr>
            <w:r>
              <w:rPr>
                <w:rFonts w:ascii="Arial" w:hAnsi="Arial"/>
                <w:sz w:val="20"/>
              </w:rPr>
              <w:t>0</w:t>
            </w:r>
            <w:r w:rsidR="004A5AF2" w:rsidRPr="00615D36">
              <w:rPr>
                <w:rFonts w:ascii="Arial" w:hAnsi="Arial"/>
                <w:sz w:val="20"/>
              </w:rPr>
              <w:t>938</w:t>
            </w:r>
          </w:p>
        </w:tc>
        <w:tc>
          <w:tcPr>
            <w:tcW w:w="2074" w:type="dxa"/>
            <w:tcBorders>
              <w:top w:val="nil"/>
              <w:left w:val="nil"/>
              <w:bottom w:val="nil"/>
              <w:right w:val="single" w:sz="4" w:space="0" w:color="auto"/>
            </w:tcBorders>
            <w:shd w:val="clear" w:color="auto" w:fill="auto"/>
            <w:noWrap/>
            <w:vAlign w:val="bottom"/>
          </w:tcPr>
          <w:p w:rsidR="004A5AF2" w:rsidRPr="00615D36" w:rsidRDefault="004A5AF2" w:rsidP="004A5AF2">
            <w:pPr>
              <w:jc w:val="center"/>
              <w:rPr>
                <w:rFonts w:ascii="Arial" w:hAnsi="Arial"/>
                <w:sz w:val="20"/>
              </w:rPr>
            </w:pPr>
            <w:proofErr w:type="gramStart"/>
            <w:r w:rsidRPr="00615D36">
              <w:rPr>
                <w:rFonts w:ascii="Arial" w:hAnsi="Arial"/>
                <w:sz w:val="20"/>
              </w:rPr>
              <w:t>both</w:t>
            </w:r>
            <w:proofErr w:type="gramEnd"/>
          </w:p>
        </w:tc>
      </w:tr>
      <w:tr w:rsidR="004A5AF2" w:rsidRPr="004A5AF2">
        <w:trPr>
          <w:trHeight w:val="300"/>
        </w:trPr>
        <w:tc>
          <w:tcPr>
            <w:tcW w:w="830" w:type="dxa"/>
            <w:tcBorders>
              <w:top w:val="nil"/>
              <w:left w:val="single" w:sz="4" w:space="0" w:color="auto"/>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7</w:t>
            </w:r>
          </w:p>
        </w:tc>
        <w:tc>
          <w:tcPr>
            <w:tcW w:w="1256" w:type="dxa"/>
            <w:tcBorders>
              <w:top w:val="nil"/>
              <w:left w:val="nil"/>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18-Apr-14</w:t>
            </w:r>
          </w:p>
        </w:tc>
        <w:tc>
          <w:tcPr>
            <w:tcW w:w="1978" w:type="dxa"/>
            <w:tcBorders>
              <w:top w:val="nil"/>
              <w:left w:val="nil"/>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90N</w:t>
            </w:r>
          </w:p>
        </w:tc>
        <w:tc>
          <w:tcPr>
            <w:tcW w:w="750" w:type="dxa"/>
            <w:tcBorders>
              <w:top w:val="nil"/>
              <w:left w:val="nil"/>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5076</w:t>
            </w:r>
          </w:p>
        </w:tc>
        <w:tc>
          <w:tcPr>
            <w:tcW w:w="1657" w:type="dxa"/>
            <w:tcBorders>
              <w:top w:val="nil"/>
              <w:left w:val="nil"/>
              <w:bottom w:val="nil"/>
              <w:right w:val="nil"/>
            </w:tcBorders>
            <w:shd w:val="clear" w:color="auto" w:fill="auto"/>
            <w:noWrap/>
            <w:vAlign w:val="bottom"/>
          </w:tcPr>
          <w:p w:rsidR="004A5AF2" w:rsidRPr="00285429" w:rsidRDefault="004A5AF2" w:rsidP="004A5AF2">
            <w:pPr>
              <w:jc w:val="center"/>
              <w:rPr>
                <w:rFonts w:ascii="Arial" w:hAnsi="Arial"/>
                <w:sz w:val="20"/>
              </w:rPr>
            </w:pPr>
            <w:r w:rsidRPr="00285429">
              <w:rPr>
                <w:rFonts w:ascii="Arial" w:hAnsi="Arial"/>
                <w:sz w:val="20"/>
              </w:rPr>
              <w:t>0938</w:t>
            </w:r>
          </w:p>
        </w:tc>
        <w:tc>
          <w:tcPr>
            <w:tcW w:w="2074" w:type="dxa"/>
            <w:tcBorders>
              <w:top w:val="nil"/>
              <w:left w:val="nil"/>
              <w:bottom w:val="nil"/>
              <w:right w:val="single" w:sz="4" w:space="0" w:color="auto"/>
            </w:tcBorders>
            <w:shd w:val="clear" w:color="auto" w:fill="auto"/>
            <w:noWrap/>
            <w:vAlign w:val="bottom"/>
          </w:tcPr>
          <w:p w:rsidR="004A5AF2" w:rsidRPr="00615D36" w:rsidRDefault="004A5AF2" w:rsidP="004A5AF2">
            <w:pPr>
              <w:jc w:val="center"/>
              <w:rPr>
                <w:rFonts w:ascii="Arial" w:hAnsi="Arial"/>
                <w:sz w:val="20"/>
              </w:rPr>
            </w:pPr>
            <w:proofErr w:type="gramStart"/>
            <w:r w:rsidRPr="00615D36">
              <w:rPr>
                <w:rFonts w:ascii="Arial" w:hAnsi="Arial"/>
                <w:sz w:val="20"/>
              </w:rPr>
              <w:t>down</w:t>
            </w:r>
            <w:proofErr w:type="gramEnd"/>
          </w:p>
        </w:tc>
      </w:tr>
      <w:tr w:rsidR="004A5AF2" w:rsidRPr="004A5AF2">
        <w:trPr>
          <w:trHeight w:val="300"/>
        </w:trPr>
        <w:tc>
          <w:tcPr>
            <w:tcW w:w="830" w:type="dxa"/>
            <w:tcBorders>
              <w:top w:val="nil"/>
              <w:left w:val="single" w:sz="4" w:space="0" w:color="auto"/>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8</w:t>
            </w:r>
          </w:p>
        </w:tc>
        <w:tc>
          <w:tcPr>
            <w:tcW w:w="1256" w:type="dxa"/>
            <w:tcBorders>
              <w:top w:val="nil"/>
              <w:left w:val="nil"/>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20-Apr-14</w:t>
            </w:r>
          </w:p>
        </w:tc>
        <w:tc>
          <w:tcPr>
            <w:tcW w:w="1978" w:type="dxa"/>
            <w:tcBorders>
              <w:top w:val="nil"/>
              <w:left w:val="nil"/>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88N, 14E (Brno 3)</w:t>
            </w:r>
          </w:p>
        </w:tc>
        <w:tc>
          <w:tcPr>
            <w:tcW w:w="750" w:type="dxa"/>
            <w:tcBorders>
              <w:top w:val="nil"/>
              <w:left w:val="nil"/>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4000</w:t>
            </w:r>
          </w:p>
        </w:tc>
        <w:tc>
          <w:tcPr>
            <w:tcW w:w="1657" w:type="dxa"/>
            <w:tcBorders>
              <w:top w:val="nil"/>
              <w:left w:val="nil"/>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1406</w:t>
            </w:r>
          </w:p>
        </w:tc>
        <w:tc>
          <w:tcPr>
            <w:tcW w:w="2074" w:type="dxa"/>
            <w:tcBorders>
              <w:top w:val="nil"/>
              <w:left w:val="nil"/>
              <w:bottom w:val="nil"/>
              <w:right w:val="single" w:sz="4" w:space="0" w:color="auto"/>
            </w:tcBorders>
            <w:shd w:val="clear" w:color="auto" w:fill="auto"/>
            <w:noWrap/>
            <w:vAlign w:val="bottom"/>
          </w:tcPr>
          <w:p w:rsidR="004A5AF2" w:rsidRPr="00615D36" w:rsidRDefault="004A5AF2" w:rsidP="004A5AF2">
            <w:pPr>
              <w:jc w:val="center"/>
              <w:rPr>
                <w:rFonts w:ascii="Arial" w:hAnsi="Arial"/>
                <w:sz w:val="20"/>
              </w:rPr>
            </w:pPr>
            <w:proofErr w:type="gramStart"/>
            <w:r w:rsidRPr="00615D36">
              <w:rPr>
                <w:rFonts w:ascii="Arial" w:hAnsi="Arial"/>
                <w:sz w:val="20"/>
              </w:rPr>
              <w:t>down</w:t>
            </w:r>
            <w:proofErr w:type="gramEnd"/>
          </w:p>
        </w:tc>
      </w:tr>
      <w:tr w:rsidR="004A5AF2" w:rsidRPr="004A5AF2">
        <w:trPr>
          <w:trHeight w:val="300"/>
        </w:trPr>
        <w:tc>
          <w:tcPr>
            <w:tcW w:w="830" w:type="dxa"/>
            <w:tcBorders>
              <w:top w:val="nil"/>
              <w:left w:val="single" w:sz="4" w:space="0" w:color="auto"/>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9</w:t>
            </w:r>
          </w:p>
        </w:tc>
        <w:tc>
          <w:tcPr>
            <w:tcW w:w="1256" w:type="dxa"/>
            <w:tcBorders>
              <w:top w:val="nil"/>
              <w:left w:val="nil"/>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21-Apr-14</w:t>
            </w:r>
          </w:p>
        </w:tc>
        <w:tc>
          <w:tcPr>
            <w:tcW w:w="1978" w:type="dxa"/>
            <w:tcBorders>
              <w:top w:val="nil"/>
              <w:left w:val="nil"/>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86N, 75W (L6)</w:t>
            </w:r>
          </w:p>
        </w:tc>
        <w:tc>
          <w:tcPr>
            <w:tcW w:w="750" w:type="dxa"/>
            <w:tcBorders>
              <w:top w:val="nil"/>
              <w:left w:val="nil"/>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4000</w:t>
            </w:r>
          </w:p>
        </w:tc>
        <w:tc>
          <w:tcPr>
            <w:tcW w:w="1657" w:type="dxa"/>
            <w:tcBorders>
              <w:top w:val="nil"/>
              <w:left w:val="nil"/>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1406</w:t>
            </w:r>
          </w:p>
        </w:tc>
        <w:tc>
          <w:tcPr>
            <w:tcW w:w="2074" w:type="dxa"/>
            <w:tcBorders>
              <w:top w:val="nil"/>
              <w:left w:val="nil"/>
              <w:bottom w:val="nil"/>
              <w:right w:val="single" w:sz="4" w:space="0" w:color="auto"/>
            </w:tcBorders>
            <w:shd w:val="clear" w:color="auto" w:fill="auto"/>
            <w:noWrap/>
            <w:vAlign w:val="bottom"/>
          </w:tcPr>
          <w:p w:rsidR="004A5AF2" w:rsidRPr="00615D36" w:rsidRDefault="004A5AF2" w:rsidP="004A5AF2">
            <w:pPr>
              <w:jc w:val="center"/>
              <w:rPr>
                <w:rFonts w:ascii="Arial" w:hAnsi="Arial"/>
                <w:sz w:val="20"/>
              </w:rPr>
            </w:pPr>
            <w:proofErr w:type="gramStart"/>
            <w:r w:rsidRPr="00615D36">
              <w:rPr>
                <w:rFonts w:ascii="Arial" w:hAnsi="Arial"/>
                <w:sz w:val="20"/>
              </w:rPr>
              <w:t>down</w:t>
            </w:r>
            <w:proofErr w:type="gramEnd"/>
          </w:p>
        </w:tc>
      </w:tr>
      <w:tr w:rsidR="004A5AF2" w:rsidRPr="004A5AF2">
        <w:trPr>
          <w:trHeight w:val="300"/>
        </w:trPr>
        <w:tc>
          <w:tcPr>
            <w:tcW w:w="830" w:type="dxa"/>
            <w:tcBorders>
              <w:top w:val="nil"/>
              <w:left w:val="single" w:sz="4" w:space="0" w:color="auto"/>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10</w:t>
            </w:r>
          </w:p>
        </w:tc>
        <w:tc>
          <w:tcPr>
            <w:tcW w:w="1256" w:type="dxa"/>
            <w:tcBorders>
              <w:top w:val="nil"/>
              <w:left w:val="nil"/>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23-Apr-14</w:t>
            </w:r>
          </w:p>
        </w:tc>
        <w:tc>
          <w:tcPr>
            <w:tcW w:w="1978" w:type="dxa"/>
            <w:tcBorders>
              <w:top w:val="nil"/>
              <w:left w:val="nil"/>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85N, 68W (L5)</w:t>
            </w:r>
          </w:p>
        </w:tc>
        <w:tc>
          <w:tcPr>
            <w:tcW w:w="750" w:type="dxa"/>
            <w:tcBorders>
              <w:top w:val="nil"/>
              <w:left w:val="nil"/>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4000</w:t>
            </w:r>
          </w:p>
        </w:tc>
        <w:tc>
          <w:tcPr>
            <w:tcW w:w="1657" w:type="dxa"/>
            <w:tcBorders>
              <w:top w:val="nil"/>
              <w:left w:val="nil"/>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1406</w:t>
            </w:r>
          </w:p>
        </w:tc>
        <w:tc>
          <w:tcPr>
            <w:tcW w:w="2074" w:type="dxa"/>
            <w:tcBorders>
              <w:top w:val="nil"/>
              <w:left w:val="nil"/>
              <w:bottom w:val="nil"/>
              <w:right w:val="single" w:sz="4" w:space="0" w:color="auto"/>
            </w:tcBorders>
            <w:shd w:val="clear" w:color="auto" w:fill="auto"/>
            <w:noWrap/>
            <w:vAlign w:val="bottom"/>
          </w:tcPr>
          <w:p w:rsidR="004A5AF2" w:rsidRPr="00615D36" w:rsidRDefault="004A5AF2" w:rsidP="004A5AF2">
            <w:pPr>
              <w:jc w:val="center"/>
              <w:rPr>
                <w:rFonts w:ascii="Arial" w:hAnsi="Arial"/>
                <w:sz w:val="20"/>
              </w:rPr>
            </w:pPr>
            <w:proofErr w:type="gramStart"/>
            <w:r w:rsidRPr="00615D36">
              <w:rPr>
                <w:rFonts w:ascii="Arial" w:hAnsi="Arial"/>
                <w:sz w:val="20"/>
              </w:rPr>
              <w:t>down</w:t>
            </w:r>
            <w:proofErr w:type="gramEnd"/>
          </w:p>
        </w:tc>
      </w:tr>
      <w:tr w:rsidR="004A5AF2" w:rsidRPr="004A5AF2">
        <w:trPr>
          <w:trHeight w:val="300"/>
        </w:trPr>
        <w:tc>
          <w:tcPr>
            <w:tcW w:w="830" w:type="dxa"/>
            <w:tcBorders>
              <w:top w:val="nil"/>
              <w:left w:val="single" w:sz="4" w:space="0" w:color="auto"/>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11</w:t>
            </w:r>
          </w:p>
        </w:tc>
        <w:tc>
          <w:tcPr>
            <w:tcW w:w="1256" w:type="dxa"/>
            <w:tcBorders>
              <w:top w:val="nil"/>
              <w:left w:val="nil"/>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23-Apr-14</w:t>
            </w:r>
          </w:p>
        </w:tc>
        <w:tc>
          <w:tcPr>
            <w:tcW w:w="1978" w:type="dxa"/>
            <w:tcBorders>
              <w:top w:val="nil"/>
              <w:left w:val="nil"/>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84N, 68W (L4)</w:t>
            </w:r>
          </w:p>
        </w:tc>
        <w:tc>
          <w:tcPr>
            <w:tcW w:w="750" w:type="dxa"/>
            <w:tcBorders>
              <w:top w:val="nil"/>
              <w:left w:val="nil"/>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4000</w:t>
            </w:r>
          </w:p>
        </w:tc>
        <w:tc>
          <w:tcPr>
            <w:tcW w:w="1657" w:type="dxa"/>
            <w:tcBorders>
              <w:top w:val="nil"/>
              <w:left w:val="nil"/>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1406</w:t>
            </w:r>
          </w:p>
        </w:tc>
        <w:tc>
          <w:tcPr>
            <w:tcW w:w="2074" w:type="dxa"/>
            <w:tcBorders>
              <w:top w:val="nil"/>
              <w:left w:val="nil"/>
              <w:bottom w:val="nil"/>
              <w:right w:val="single" w:sz="4" w:space="0" w:color="auto"/>
            </w:tcBorders>
            <w:shd w:val="clear" w:color="auto" w:fill="auto"/>
            <w:noWrap/>
            <w:vAlign w:val="bottom"/>
          </w:tcPr>
          <w:p w:rsidR="004A5AF2" w:rsidRPr="00615D36" w:rsidRDefault="004A5AF2" w:rsidP="004A5AF2">
            <w:pPr>
              <w:jc w:val="center"/>
              <w:rPr>
                <w:rFonts w:ascii="Arial" w:hAnsi="Arial"/>
                <w:sz w:val="20"/>
              </w:rPr>
            </w:pPr>
            <w:proofErr w:type="gramStart"/>
            <w:r w:rsidRPr="00615D36">
              <w:rPr>
                <w:rFonts w:ascii="Arial" w:hAnsi="Arial"/>
                <w:sz w:val="20"/>
              </w:rPr>
              <w:t>down</w:t>
            </w:r>
            <w:proofErr w:type="gramEnd"/>
          </w:p>
        </w:tc>
      </w:tr>
      <w:tr w:rsidR="004A5AF2" w:rsidRPr="004A5AF2">
        <w:trPr>
          <w:trHeight w:val="300"/>
        </w:trPr>
        <w:tc>
          <w:tcPr>
            <w:tcW w:w="830" w:type="dxa"/>
            <w:tcBorders>
              <w:top w:val="nil"/>
              <w:left w:val="single" w:sz="4" w:space="0" w:color="auto"/>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12</w:t>
            </w:r>
          </w:p>
        </w:tc>
        <w:tc>
          <w:tcPr>
            <w:tcW w:w="1256" w:type="dxa"/>
            <w:tcBorders>
              <w:top w:val="nil"/>
              <w:left w:val="nil"/>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23-Apr-14</w:t>
            </w:r>
          </w:p>
        </w:tc>
        <w:tc>
          <w:tcPr>
            <w:tcW w:w="1978" w:type="dxa"/>
            <w:tcBorders>
              <w:top w:val="nil"/>
              <w:left w:val="nil"/>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87N, 80W (L7)</w:t>
            </w:r>
          </w:p>
        </w:tc>
        <w:tc>
          <w:tcPr>
            <w:tcW w:w="750" w:type="dxa"/>
            <w:tcBorders>
              <w:top w:val="nil"/>
              <w:left w:val="nil"/>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4000</w:t>
            </w:r>
          </w:p>
        </w:tc>
        <w:tc>
          <w:tcPr>
            <w:tcW w:w="1657" w:type="dxa"/>
            <w:tcBorders>
              <w:top w:val="nil"/>
              <w:left w:val="nil"/>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1406</w:t>
            </w:r>
          </w:p>
        </w:tc>
        <w:tc>
          <w:tcPr>
            <w:tcW w:w="2074" w:type="dxa"/>
            <w:tcBorders>
              <w:top w:val="nil"/>
              <w:left w:val="nil"/>
              <w:bottom w:val="nil"/>
              <w:right w:val="single" w:sz="4" w:space="0" w:color="auto"/>
            </w:tcBorders>
            <w:shd w:val="clear" w:color="auto" w:fill="auto"/>
            <w:noWrap/>
            <w:vAlign w:val="bottom"/>
          </w:tcPr>
          <w:p w:rsidR="004A5AF2" w:rsidRPr="00615D36" w:rsidRDefault="004A5AF2" w:rsidP="004A5AF2">
            <w:pPr>
              <w:jc w:val="center"/>
              <w:rPr>
                <w:rFonts w:ascii="Arial" w:hAnsi="Arial"/>
                <w:sz w:val="20"/>
              </w:rPr>
            </w:pPr>
            <w:proofErr w:type="gramStart"/>
            <w:r w:rsidRPr="00615D36">
              <w:rPr>
                <w:rFonts w:ascii="Arial" w:hAnsi="Arial"/>
                <w:sz w:val="20"/>
              </w:rPr>
              <w:t>down</w:t>
            </w:r>
            <w:proofErr w:type="gramEnd"/>
          </w:p>
        </w:tc>
      </w:tr>
      <w:tr w:rsidR="004A5AF2" w:rsidRPr="004A5AF2">
        <w:trPr>
          <w:trHeight w:val="300"/>
        </w:trPr>
        <w:tc>
          <w:tcPr>
            <w:tcW w:w="830" w:type="dxa"/>
            <w:tcBorders>
              <w:top w:val="nil"/>
              <w:left w:val="single" w:sz="4" w:space="0" w:color="auto"/>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13</w:t>
            </w:r>
          </w:p>
        </w:tc>
        <w:tc>
          <w:tcPr>
            <w:tcW w:w="1256" w:type="dxa"/>
            <w:tcBorders>
              <w:top w:val="nil"/>
              <w:left w:val="nil"/>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24-Apr-14</w:t>
            </w:r>
          </w:p>
        </w:tc>
        <w:tc>
          <w:tcPr>
            <w:tcW w:w="1978" w:type="dxa"/>
            <w:tcBorders>
              <w:top w:val="nil"/>
              <w:left w:val="nil"/>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83N, 65W (L1)</w:t>
            </w:r>
          </w:p>
        </w:tc>
        <w:tc>
          <w:tcPr>
            <w:tcW w:w="750" w:type="dxa"/>
            <w:tcBorders>
              <w:top w:val="nil"/>
              <w:left w:val="nil"/>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4000</w:t>
            </w:r>
          </w:p>
        </w:tc>
        <w:tc>
          <w:tcPr>
            <w:tcW w:w="1657" w:type="dxa"/>
            <w:tcBorders>
              <w:top w:val="nil"/>
              <w:left w:val="nil"/>
              <w:bottom w:val="nil"/>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1406</w:t>
            </w:r>
          </w:p>
        </w:tc>
        <w:tc>
          <w:tcPr>
            <w:tcW w:w="2074" w:type="dxa"/>
            <w:tcBorders>
              <w:top w:val="nil"/>
              <w:left w:val="nil"/>
              <w:bottom w:val="nil"/>
              <w:right w:val="single" w:sz="4" w:space="0" w:color="auto"/>
            </w:tcBorders>
            <w:shd w:val="clear" w:color="auto" w:fill="auto"/>
            <w:noWrap/>
            <w:vAlign w:val="bottom"/>
          </w:tcPr>
          <w:p w:rsidR="004A5AF2" w:rsidRPr="00615D36" w:rsidRDefault="004A5AF2" w:rsidP="004A5AF2">
            <w:pPr>
              <w:jc w:val="center"/>
              <w:rPr>
                <w:rFonts w:ascii="Arial" w:hAnsi="Arial"/>
                <w:sz w:val="20"/>
              </w:rPr>
            </w:pPr>
            <w:proofErr w:type="gramStart"/>
            <w:r w:rsidRPr="00615D36">
              <w:rPr>
                <w:rFonts w:ascii="Arial" w:hAnsi="Arial"/>
                <w:sz w:val="20"/>
              </w:rPr>
              <w:t>down</w:t>
            </w:r>
            <w:proofErr w:type="gramEnd"/>
          </w:p>
        </w:tc>
      </w:tr>
      <w:tr w:rsidR="004A5AF2" w:rsidRPr="004A5AF2">
        <w:trPr>
          <w:trHeight w:val="300"/>
        </w:trPr>
        <w:tc>
          <w:tcPr>
            <w:tcW w:w="830" w:type="dxa"/>
            <w:tcBorders>
              <w:top w:val="nil"/>
              <w:left w:val="single" w:sz="4" w:space="0" w:color="auto"/>
              <w:bottom w:val="single" w:sz="4" w:space="0" w:color="auto"/>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14</w:t>
            </w:r>
          </w:p>
        </w:tc>
        <w:tc>
          <w:tcPr>
            <w:tcW w:w="1256" w:type="dxa"/>
            <w:tcBorders>
              <w:top w:val="nil"/>
              <w:left w:val="nil"/>
              <w:bottom w:val="single" w:sz="4" w:space="0" w:color="auto"/>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24-Apr-14</w:t>
            </w:r>
          </w:p>
        </w:tc>
        <w:tc>
          <w:tcPr>
            <w:tcW w:w="1978" w:type="dxa"/>
            <w:tcBorders>
              <w:top w:val="nil"/>
              <w:left w:val="nil"/>
              <w:bottom w:val="single" w:sz="4" w:space="0" w:color="auto"/>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84N, 65W (L3-2)</w:t>
            </w:r>
          </w:p>
        </w:tc>
        <w:tc>
          <w:tcPr>
            <w:tcW w:w="750" w:type="dxa"/>
            <w:tcBorders>
              <w:top w:val="nil"/>
              <w:left w:val="nil"/>
              <w:bottom w:val="single" w:sz="4" w:space="0" w:color="auto"/>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4000</w:t>
            </w:r>
          </w:p>
        </w:tc>
        <w:tc>
          <w:tcPr>
            <w:tcW w:w="1657" w:type="dxa"/>
            <w:tcBorders>
              <w:top w:val="nil"/>
              <w:left w:val="nil"/>
              <w:bottom w:val="single" w:sz="4" w:space="0" w:color="auto"/>
              <w:right w:val="nil"/>
            </w:tcBorders>
            <w:shd w:val="clear" w:color="auto" w:fill="auto"/>
            <w:noWrap/>
            <w:vAlign w:val="bottom"/>
          </w:tcPr>
          <w:p w:rsidR="004A5AF2" w:rsidRPr="00615D36" w:rsidRDefault="004A5AF2" w:rsidP="004A5AF2">
            <w:pPr>
              <w:jc w:val="center"/>
              <w:rPr>
                <w:rFonts w:ascii="Arial" w:hAnsi="Arial"/>
                <w:sz w:val="20"/>
              </w:rPr>
            </w:pPr>
            <w:r w:rsidRPr="00615D36">
              <w:rPr>
                <w:rFonts w:ascii="Arial" w:hAnsi="Arial"/>
                <w:sz w:val="20"/>
              </w:rPr>
              <w:t>1406</w:t>
            </w:r>
          </w:p>
        </w:tc>
        <w:tc>
          <w:tcPr>
            <w:tcW w:w="2074" w:type="dxa"/>
            <w:tcBorders>
              <w:top w:val="nil"/>
              <w:left w:val="nil"/>
              <w:bottom w:val="single" w:sz="4" w:space="0" w:color="auto"/>
              <w:right w:val="single" w:sz="4" w:space="0" w:color="auto"/>
            </w:tcBorders>
            <w:shd w:val="clear" w:color="auto" w:fill="auto"/>
            <w:noWrap/>
            <w:vAlign w:val="bottom"/>
          </w:tcPr>
          <w:p w:rsidR="004A5AF2" w:rsidRPr="00615D36" w:rsidRDefault="004A5AF2" w:rsidP="004A5AF2">
            <w:pPr>
              <w:jc w:val="center"/>
              <w:rPr>
                <w:rFonts w:ascii="Arial" w:hAnsi="Arial"/>
                <w:sz w:val="20"/>
              </w:rPr>
            </w:pPr>
            <w:proofErr w:type="gramStart"/>
            <w:r w:rsidRPr="00615D36">
              <w:rPr>
                <w:rFonts w:ascii="Arial" w:hAnsi="Arial"/>
                <w:sz w:val="20"/>
              </w:rPr>
              <w:t>down</w:t>
            </w:r>
            <w:proofErr w:type="gramEnd"/>
          </w:p>
        </w:tc>
      </w:tr>
    </w:tbl>
    <w:p w:rsidR="009427C2" w:rsidRDefault="009427C2"/>
    <w:p w:rsidR="00615D36" w:rsidRDefault="00615D36"/>
    <w:p w:rsidR="0080753D" w:rsidRDefault="0080753D" w:rsidP="0080753D">
      <w:pPr>
        <w:ind w:firstLine="720"/>
        <w:rPr>
          <w:sz w:val="24"/>
        </w:rPr>
      </w:pPr>
      <w:r w:rsidRPr="00827DCE">
        <w:rPr>
          <w:sz w:val="24"/>
        </w:rPr>
        <w:t>The 4 Hz raw data consist</w:t>
      </w:r>
      <w:r>
        <w:rPr>
          <w:sz w:val="24"/>
        </w:rPr>
        <w:t>ed</w:t>
      </w:r>
      <w:r w:rsidRPr="00827DCE">
        <w:rPr>
          <w:sz w:val="24"/>
        </w:rPr>
        <w:t xml:space="preserve"> of scan number, pressure, temperature (ITS-90), conductivity, and SBE43 oxygen sensor voltage.</w:t>
      </w:r>
      <w:r>
        <w:rPr>
          <w:sz w:val="24"/>
        </w:rPr>
        <w:t xml:space="preserve">  The data were processed using </w:t>
      </w:r>
      <w:proofErr w:type="spellStart"/>
      <w:r>
        <w:rPr>
          <w:sz w:val="24"/>
        </w:rPr>
        <w:t>SBEDataProcessor</w:t>
      </w:r>
      <w:proofErr w:type="spellEnd"/>
      <w:r>
        <w:rPr>
          <w:sz w:val="24"/>
        </w:rPr>
        <w:t xml:space="preserve"> (</w:t>
      </w:r>
      <w:r w:rsidRPr="00827DCE">
        <w:rPr>
          <w:bCs/>
          <w:sz w:val="24"/>
        </w:rPr>
        <w:t>Version 7.12</w:t>
      </w:r>
      <w:r>
        <w:rPr>
          <w:sz w:val="24"/>
        </w:rPr>
        <w:t>) according to the following steps:</w:t>
      </w:r>
    </w:p>
    <w:p w:rsidR="0080753D" w:rsidRDefault="0080753D" w:rsidP="0080753D">
      <w:pPr>
        <w:ind w:firstLine="720"/>
        <w:rPr>
          <w:sz w:val="24"/>
        </w:rPr>
      </w:pPr>
    </w:p>
    <w:p w:rsidR="0080753D" w:rsidRPr="00F20D6D" w:rsidRDefault="0080753D" w:rsidP="0080753D">
      <w:pPr>
        <w:widowControl w:val="0"/>
        <w:autoSpaceDE w:val="0"/>
        <w:autoSpaceDN w:val="0"/>
        <w:adjustRightInd w:val="0"/>
        <w:rPr>
          <w:rFonts w:cs="Arial"/>
          <w:sz w:val="24"/>
          <w:szCs w:val="20"/>
        </w:rPr>
      </w:pPr>
      <w:r w:rsidRPr="00F20D6D">
        <w:rPr>
          <w:rFonts w:cs="Arial"/>
          <w:sz w:val="24"/>
          <w:szCs w:val="20"/>
        </w:rPr>
        <w:t xml:space="preserve">(1) </w:t>
      </w:r>
      <w:r>
        <w:rPr>
          <w:rFonts w:cs="Arial"/>
          <w:sz w:val="24"/>
          <w:szCs w:val="20"/>
        </w:rPr>
        <w:t>The raw d</w:t>
      </w:r>
      <w:r w:rsidRPr="00F20D6D">
        <w:rPr>
          <w:rFonts w:cs="Arial"/>
          <w:sz w:val="24"/>
          <w:szCs w:val="20"/>
        </w:rPr>
        <w:t xml:space="preserve">ata </w:t>
      </w:r>
      <w:r>
        <w:rPr>
          <w:rFonts w:cs="Arial"/>
          <w:sz w:val="24"/>
          <w:szCs w:val="20"/>
        </w:rPr>
        <w:t xml:space="preserve">was </w:t>
      </w:r>
      <w:r w:rsidRPr="00F20D6D">
        <w:rPr>
          <w:rFonts w:cs="Arial"/>
          <w:sz w:val="24"/>
          <w:szCs w:val="20"/>
        </w:rPr>
        <w:t>convert</w:t>
      </w:r>
      <w:r>
        <w:rPr>
          <w:rFonts w:cs="Arial"/>
          <w:sz w:val="24"/>
          <w:szCs w:val="20"/>
        </w:rPr>
        <w:t xml:space="preserve">ed using appropriate configuration (CON) file such that the output variables included time, pressure, temperature, conductivity, and SBE43 voltage.  </w:t>
      </w:r>
      <w:r w:rsidRPr="00F20D6D">
        <w:rPr>
          <w:rFonts w:cs="Arial"/>
          <w:sz w:val="24"/>
          <w:szCs w:val="20"/>
        </w:rPr>
        <w:t xml:space="preserve">Hysteresis and tau corrections were applied to </w:t>
      </w:r>
      <w:r>
        <w:rPr>
          <w:rFonts w:cs="Arial"/>
          <w:sz w:val="24"/>
          <w:szCs w:val="20"/>
        </w:rPr>
        <w:t xml:space="preserve">SBE43 voltage data with a 2-sec </w:t>
      </w:r>
      <w:r w:rsidRPr="00F20D6D">
        <w:rPr>
          <w:rFonts w:cs="Arial"/>
          <w:sz w:val="24"/>
          <w:szCs w:val="20"/>
        </w:rPr>
        <w:t>window</w:t>
      </w:r>
      <w:r>
        <w:rPr>
          <w:rFonts w:cs="Arial"/>
          <w:sz w:val="24"/>
          <w:szCs w:val="20"/>
        </w:rPr>
        <w:t>.</w:t>
      </w:r>
    </w:p>
    <w:p w:rsidR="0080753D" w:rsidRPr="00F20D6D" w:rsidRDefault="0080753D" w:rsidP="0080753D">
      <w:pPr>
        <w:widowControl w:val="0"/>
        <w:autoSpaceDE w:val="0"/>
        <w:autoSpaceDN w:val="0"/>
        <w:adjustRightInd w:val="0"/>
        <w:rPr>
          <w:rFonts w:cs="Arial"/>
          <w:sz w:val="24"/>
          <w:szCs w:val="20"/>
        </w:rPr>
      </w:pPr>
    </w:p>
    <w:p w:rsidR="0080753D" w:rsidRPr="00F20D6D" w:rsidRDefault="0080753D" w:rsidP="0080753D">
      <w:pPr>
        <w:widowControl w:val="0"/>
        <w:autoSpaceDE w:val="0"/>
        <w:autoSpaceDN w:val="0"/>
        <w:adjustRightInd w:val="0"/>
        <w:rPr>
          <w:rFonts w:cs="Arial"/>
          <w:sz w:val="24"/>
          <w:szCs w:val="20"/>
        </w:rPr>
      </w:pPr>
      <w:r w:rsidRPr="00F20D6D">
        <w:rPr>
          <w:rFonts w:cs="Arial"/>
          <w:sz w:val="24"/>
          <w:szCs w:val="20"/>
        </w:rPr>
        <w:t xml:space="preserve">(2) </w:t>
      </w:r>
      <w:r>
        <w:rPr>
          <w:rFonts w:cs="Arial"/>
          <w:sz w:val="24"/>
          <w:szCs w:val="20"/>
        </w:rPr>
        <w:t>The temperature and conductivity d</w:t>
      </w:r>
      <w:r w:rsidRPr="00F20D6D">
        <w:rPr>
          <w:rFonts w:cs="Arial"/>
          <w:sz w:val="24"/>
          <w:szCs w:val="20"/>
        </w:rPr>
        <w:t xml:space="preserve">ata were then filtered </w:t>
      </w:r>
      <w:r w:rsidRPr="00827DCE">
        <w:rPr>
          <w:sz w:val="24"/>
        </w:rPr>
        <w:t xml:space="preserve">using a 0.5 second low pass filter whereas the pressure and SBE43 voltage were smoothed using a 1.0 second low pass filter, in accordance with Seabird’s recommendations for SBE19 </w:t>
      </w:r>
      <w:r w:rsidRPr="00827DCE">
        <w:rPr>
          <w:i/>
          <w:sz w:val="24"/>
        </w:rPr>
        <w:t>plus</w:t>
      </w:r>
      <w:r w:rsidRPr="00827DCE">
        <w:rPr>
          <w:sz w:val="24"/>
        </w:rPr>
        <w:t xml:space="preserve"> data processing.</w:t>
      </w:r>
    </w:p>
    <w:p w:rsidR="0080753D" w:rsidRPr="00F20D6D" w:rsidRDefault="0080753D" w:rsidP="0080753D">
      <w:pPr>
        <w:widowControl w:val="0"/>
        <w:autoSpaceDE w:val="0"/>
        <w:autoSpaceDN w:val="0"/>
        <w:adjustRightInd w:val="0"/>
        <w:rPr>
          <w:rFonts w:cs="Arial"/>
          <w:sz w:val="24"/>
          <w:szCs w:val="20"/>
        </w:rPr>
      </w:pPr>
      <w:r w:rsidRPr="00F20D6D">
        <w:rPr>
          <w:rFonts w:cs="Arial"/>
          <w:sz w:val="24"/>
          <w:szCs w:val="20"/>
        </w:rPr>
        <w:tab/>
      </w:r>
    </w:p>
    <w:p w:rsidR="0080753D" w:rsidRPr="00F20D6D" w:rsidRDefault="0080753D" w:rsidP="0080753D">
      <w:pPr>
        <w:widowControl w:val="0"/>
        <w:autoSpaceDE w:val="0"/>
        <w:autoSpaceDN w:val="0"/>
        <w:adjustRightInd w:val="0"/>
        <w:rPr>
          <w:rFonts w:cs="Arial"/>
          <w:sz w:val="24"/>
          <w:szCs w:val="20"/>
        </w:rPr>
      </w:pPr>
      <w:r w:rsidRPr="00F20D6D">
        <w:rPr>
          <w:rFonts w:cs="Arial"/>
          <w:sz w:val="24"/>
          <w:szCs w:val="20"/>
        </w:rPr>
        <w:t xml:space="preserve">(3) </w:t>
      </w:r>
      <w:r w:rsidRPr="00827DCE">
        <w:rPr>
          <w:sz w:val="24"/>
        </w:rPr>
        <w:t>The temperature records were advanced 0.55 seconds with respect to pressure, as determined by Roger Andersen</w:t>
      </w:r>
      <w:r>
        <w:rPr>
          <w:sz w:val="24"/>
        </w:rPr>
        <w:t xml:space="preserve"> (APL-UW)</w:t>
      </w:r>
      <w:r w:rsidRPr="00827DCE">
        <w:rPr>
          <w:sz w:val="24"/>
        </w:rPr>
        <w:t xml:space="preserve"> on the basis of salinity spiking minimization (Seabird recommends an advance of 0.5 seconds due to the relatively slow response of the temperature sensor with respect to those of the conductivity and pressure sensors; it is possible the cold Arctic environment resulted in a slightly slowe</w:t>
      </w:r>
      <w:r>
        <w:rPr>
          <w:sz w:val="24"/>
        </w:rPr>
        <w:t xml:space="preserve">r than usual sensor response).  </w:t>
      </w:r>
      <w:r>
        <w:rPr>
          <w:rFonts w:cs="Arial"/>
          <w:sz w:val="24"/>
          <w:szCs w:val="20"/>
        </w:rPr>
        <w:t xml:space="preserve">The SBE43 voltage was advanced 2.5 seconds relative to pressure to account for the lag time between the flow of the sample from the </w:t>
      </w:r>
      <w:proofErr w:type="spellStart"/>
      <w:r>
        <w:rPr>
          <w:rFonts w:cs="Arial"/>
          <w:sz w:val="24"/>
          <w:szCs w:val="20"/>
        </w:rPr>
        <w:t>thermistor</w:t>
      </w:r>
      <w:proofErr w:type="spellEnd"/>
      <w:r>
        <w:rPr>
          <w:rFonts w:cs="Arial"/>
          <w:sz w:val="24"/>
          <w:szCs w:val="20"/>
        </w:rPr>
        <w:t xml:space="preserve"> to the O</w:t>
      </w:r>
      <w:r w:rsidRPr="00070869">
        <w:rPr>
          <w:rFonts w:cs="Arial"/>
          <w:sz w:val="24"/>
          <w:szCs w:val="20"/>
          <w:vertAlign w:val="subscript"/>
        </w:rPr>
        <w:t>2</w:t>
      </w:r>
      <w:r>
        <w:rPr>
          <w:rFonts w:cs="Arial"/>
          <w:sz w:val="24"/>
          <w:szCs w:val="20"/>
        </w:rPr>
        <w:t xml:space="preserve"> sensor.  </w:t>
      </w:r>
    </w:p>
    <w:p w:rsidR="0080753D" w:rsidRPr="00F20D6D" w:rsidRDefault="0080753D" w:rsidP="0080753D">
      <w:pPr>
        <w:widowControl w:val="0"/>
        <w:autoSpaceDE w:val="0"/>
        <w:autoSpaceDN w:val="0"/>
        <w:adjustRightInd w:val="0"/>
        <w:rPr>
          <w:rFonts w:cs="Arial"/>
          <w:sz w:val="24"/>
          <w:szCs w:val="20"/>
        </w:rPr>
      </w:pPr>
    </w:p>
    <w:p w:rsidR="0080753D" w:rsidRPr="00F20D6D" w:rsidRDefault="0080753D" w:rsidP="0080753D">
      <w:pPr>
        <w:widowControl w:val="0"/>
        <w:autoSpaceDE w:val="0"/>
        <w:autoSpaceDN w:val="0"/>
        <w:adjustRightInd w:val="0"/>
        <w:rPr>
          <w:rFonts w:cs="Arial"/>
          <w:sz w:val="24"/>
          <w:szCs w:val="20"/>
        </w:rPr>
      </w:pPr>
      <w:r w:rsidRPr="00F20D6D">
        <w:rPr>
          <w:rFonts w:cs="Arial"/>
          <w:sz w:val="24"/>
          <w:szCs w:val="20"/>
        </w:rPr>
        <w:t>(4) Cell thermal mass corrections (alpha = 0.025, tau = 9.0) were applied.</w:t>
      </w:r>
    </w:p>
    <w:p w:rsidR="0080753D" w:rsidRPr="00F20D6D" w:rsidRDefault="0080753D" w:rsidP="0080753D">
      <w:pPr>
        <w:widowControl w:val="0"/>
        <w:autoSpaceDE w:val="0"/>
        <w:autoSpaceDN w:val="0"/>
        <w:adjustRightInd w:val="0"/>
        <w:rPr>
          <w:rFonts w:cs="Arial"/>
          <w:sz w:val="24"/>
          <w:szCs w:val="20"/>
        </w:rPr>
      </w:pPr>
    </w:p>
    <w:p w:rsidR="0080753D" w:rsidRPr="00F20D6D" w:rsidRDefault="0080753D" w:rsidP="0080753D">
      <w:pPr>
        <w:widowControl w:val="0"/>
        <w:autoSpaceDE w:val="0"/>
        <w:autoSpaceDN w:val="0"/>
        <w:adjustRightInd w:val="0"/>
        <w:rPr>
          <w:rFonts w:cs="Arial"/>
          <w:sz w:val="24"/>
          <w:szCs w:val="20"/>
        </w:rPr>
      </w:pPr>
      <w:r w:rsidRPr="00F20D6D">
        <w:rPr>
          <w:rFonts w:cs="Arial"/>
          <w:sz w:val="24"/>
          <w:szCs w:val="20"/>
        </w:rPr>
        <w:t>(5) Additional variables were derived from the processed data</w:t>
      </w:r>
      <w:r>
        <w:rPr>
          <w:rFonts w:cs="Arial"/>
          <w:sz w:val="24"/>
          <w:szCs w:val="20"/>
        </w:rPr>
        <w:t>, including d</w:t>
      </w:r>
      <w:r w:rsidRPr="00F20D6D">
        <w:rPr>
          <w:rFonts w:cs="Arial"/>
          <w:sz w:val="24"/>
          <w:szCs w:val="20"/>
        </w:rPr>
        <w:t xml:space="preserve">epth (salt water, m) </w:t>
      </w:r>
      <w:r>
        <w:rPr>
          <w:rFonts w:cs="Arial"/>
          <w:sz w:val="24"/>
          <w:szCs w:val="20"/>
        </w:rPr>
        <w:t>computed assuming a</w:t>
      </w:r>
      <w:r w:rsidRPr="00F20D6D">
        <w:rPr>
          <w:rFonts w:cs="Arial"/>
          <w:sz w:val="24"/>
          <w:szCs w:val="20"/>
        </w:rPr>
        <w:t xml:space="preserve"> constant latitude of 87</w:t>
      </w:r>
      <w:r>
        <w:rPr>
          <w:rFonts w:cs="Arial"/>
          <w:sz w:val="24"/>
          <w:szCs w:val="20"/>
        </w:rPr>
        <w:t>º</w:t>
      </w:r>
      <w:r w:rsidRPr="00F20D6D">
        <w:rPr>
          <w:rFonts w:cs="Arial"/>
          <w:sz w:val="24"/>
          <w:szCs w:val="20"/>
        </w:rPr>
        <w:t>N</w:t>
      </w:r>
      <w:r>
        <w:rPr>
          <w:rFonts w:cs="Arial"/>
          <w:sz w:val="24"/>
          <w:szCs w:val="20"/>
        </w:rPr>
        <w:t>, p</w:t>
      </w:r>
      <w:r w:rsidRPr="00F20D6D">
        <w:rPr>
          <w:rFonts w:cs="Arial"/>
          <w:sz w:val="24"/>
          <w:szCs w:val="20"/>
        </w:rPr>
        <w:t>otential temperature (ITS-90, deg C)</w:t>
      </w:r>
      <w:r>
        <w:rPr>
          <w:rFonts w:cs="Arial"/>
          <w:sz w:val="24"/>
          <w:szCs w:val="20"/>
        </w:rPr>
        <w:t>, s</w:t>
      </w:r>
      <w:r w:rsidRPr="00F20D6D">
        <w:rPr>
          <w:rFonts w:cs="Arial"/>
          <w:sz w:val="24"/>
          <w:szCs w:val="20"/>
        </w:rPr>
        <w:t>alinity</w:t>
      </w:r>
      <w:r>
        <w:rPr>
          <w:rFonts w:cs="Arial"/>
          <w:sz w:val="24"/>
          <w:szCs w:val="20"/>
        </w:rPr>
        <w:t>, potential d</w:t>
      </w:r>
      <w:r w:rsidRPr="00F20D6D">
        <w:rPr>
          <w:rFonts w:cs="Arial"/>
          <w:sz w:val="24"/>
          <w:szCs w:val="20"/>
        </w:rPr>
        <w:t>ensity (sigma-theta, kg m</w:t>
      </w:r>
      <w:r w:rsidRPr="00DE3440">
        <w:rPr>
          <w:rFonts w:cs="Arial"/>
          <w:sz w:val="24"/>
          <w:szCs w:val="20"/>
          <w:vertAlign w:val="superscript"/>
        </w:rPr>
        <w:t>-3</w:t>
      </w:r>
      <w:r w:rsidRPr="00F20D6D">
        <w:rPr>
          <w:rFonts w:cs="Arial"/>
          <w:sz w:val="24"/>
          <w:szCs w:val="20"/>
        </w:rPr>
        <w:t>)</w:t>
      </w:r>
      <w:r>
        <w:rPr>
          <w:rFonts w:cs="Arial"/>
          <w:sz w:val="24"/>
          <w:szCs w:val="20"/>
        </w:rPr>
        <w:t>, and dissolved o</w:t>
      </w:r>
      <w:r w:rsidRPr="00F20D6D">
        <w:rPr>
          <w:rFonts w:cs="Arial"/>
          <w:sz w:val="24"/>
          <w:szCs w:val="20"/>
        </w:rPr>
        <w:t xml:space="preserve">xygen </w:t>
      </w:r>
      <w:r>
        <w:rPr>
          <w:rFonts w:cs="Arial"/>
          <w:sz w:val="24"/>
          <w:szCs w:val="20"/>
        </w:rPr>
        <w:t xml:space="preserve">concentration </w:t>
      </w:r>
      <w:r w:rsidRPr="00F20D6D">
        <w:rPr>
          <w:rFonts w:cs="Arial"/>
          <w:sz w:val="24"/>
          <w:szCs w:val="20"/>
        </w:rPr>
        <w:t>(</w:t>
      </w:r>
      <w:proofErr w:type="spellStart"/>
      <w:r w:rsidRPr="00F20D6D">
        <w:rPr>
          <w:rFonts w:cs="Arial"/>
          <w:sz w:val="24"/>
          <w:szCs w:val="20"/>
        </w:rPr>
        <w:t>mL</w:t>
      </w:r>
      <w:proofErr w:type="spellEnd"/>
      <w:r w:rsidRPr="00F20D6D">
        <w:rPr>
          <w:rFonts w:cs="Arial"/>
          <w:sz w:val="24"/>
          <w:szCs w:val="20"/>
        </w:rPr>
        <w:t xml:space="preserve"> L</w:t>
      </w:r>
      <w:r w:rsidRPr="00DE3440">
        <w:rPr>
          <w:rFonts w:cs="Arial"/>
          <w:sz w:val="24"/>
          <w:szCs w:val="20"/>
          <w:vertAlign w:val="superscript"/>
        </w:rPr>
        <w:t>-1</w:t>
      </w:r>
      <w:r w:rsidRPr="00F20D6D">
        <w:rPr>
          <w:rFonts w:cs="Arial"/>
          <w:sz w:val="24"/>
          <w:szCs w:val="20"/>
        </w:rPr>
        <w:t>)</w:t>
      </w:r>
      <w:r>
        <w:rPr>
          <w:rFonts w:cs="Arial"/>
          <w:sz w:val="24"/>
          <w:szCs w:val="20"/>
        </w:rPr>
        <w:t xml:space="preserve">.  </w:t>
      </w:r>
      <w:r w:rsidRPr="00827DCE">
        <w:rPr>
          <w:sz w:val="24"/>
        </w:rPr>
        <w:t xml:space="preserve">The oxygen concentration was calculated using the Murphy-Larson equation, incorporating a cubic temperature correction and a feature-sharpening term </w:t>
      </w:r>
      <w:r>
        <w:rPr>
          <w:sz w:val="24"/>
        </w:rPr>
        <w:t>(</w:t>
      </w:r>
      <w:r w:rsidRPr="00C66446">
        <w:rPr>
          <w:i/>
          <w:sz w:val="24"/>
        </w:rPr>
        <w:t>tau</w:t>
      </w:r>
      <w:r>
        <w:rPr>
          <w:sz w:val="24"/>
        </w:rPr>
        <w:t xml:space="preserve">) </w:t>
      </w:r>
      <w:r w:rsidRPr="00827DCE">
        <w:rPr>
          <w:sz w:val="24"/>
        </w:rPr>
        <w:t xml:space="preserve">involving the time derivative of SBE43 voltage. </w:t>
      </w:r>
    </w:p>
    <w:p w:rsidR="0080753D" w:rsidRPr="00F20D6D" w:rsidRDefault="0080753D" w:rsidP="0080753D">
      <w:pPr>
        <w:widowControl w:val="0"/>
        <w:autoSpaceDE w:val="0"/>
        <w:autoSpaceDN w:val="0"/>
        <w:adjustRightInd w:val="0"/>
        <w:rPr>
          <w:rFonts w:cs="Arial"/>
          <w:sz w:val="24"/>
          <w:szCs w:val="20"/>
        </w:rPr>
      </w:pPr>
    </w:p>
    <w:p w:rsidR="004A0272" w:rsidRDefault="0080753D" w:rsidP="0080753D">
      <w:pPr>
        <w:widowControl w:val="0"/>
        <w:autoSpaceDE w:val="0"/>
        <w:autoSpaceDN w:val="0"/>
        <w:adjustRightInd w:val="0"/>
        <w:rPr>
          <w:rFonts w:cs="Arial"/>
          <w:sz w:val="24"/>
          <w:szCs w:val="20"/>
        </w:rPr>
      </w:pPr>
      <w:r w:rsidRPr="00F20D6D">
        <w:rPr>
          <w:rFonts w:cs="Arial"/>
          <w:sz w:val="24"/>
          <w:szCs w:val="20"/>
        </w:rPr>
        <w:t>(6) For stations where the</w:t>
      </w:r>
      <w:r w:rsidR="00844570">
        <w:rPr>
          <w:rFonts w:cs="Arial"/>
          <w:sz w:val="24"/>
          <w:szCs w:val="20"/>
        </w:rPr>
        <w:t xml:space="preserve"> oxygen concentrations recorded during the downcast exhibited a negative bias,</w:t>
      </w:r>
      <w:r w:rsidR="004A0272">
        <w:rPr>
          <w:rFonts w:cs="Arial"/>
          <w:sz w:val="24"/>
          <w:szCs w:val="20"/>
        </w:rPr>
        <w:t xml:space="preserve"> </w:t>
      </w:r>
      <w:proofErr w:type="spellStart"/>
      <w:r w:rsidRPr="00F20D6D">
        <w:rPr>
          <w:rFonts w:cs="Arial"/>
          <w:sz w:val="24"/>
          <w:szCs w:val="20"/>
        </w:rPr>
        <w:t>upcast</w:t>
      </w:r>
      <w:proofErr w:type="spellEnd"/>
      <w:r w:rsidRPr="00F20D6D">
        <w:rPr>
          <w:rFonts w:cs="Arial"/>
          <w:sz w:val="24"/>
          <w:szCs w:val="20"/>
        </w:rPr>
        <w:t xml:space="preserve"> </w:t>
      </w:r>
      <w:r>
        <w:rPr>
          <w:rFonts w:cs="Arial"/>
          <w:sz w:val="24"/>
          <w:szCs w:val="20"/>
        </w:rPr>
        <w:t>data were</w:t>
      </w:r>
      <w:r w:rsidRPr="00F20D6D">
        <w:rPr>
          <w:rFonts w:cs="Arial"/>
          <w:sz w:val="24"/>
          <w:szCs w:val="20"/>
        </w:rPr>
        <w:t xml:space="preserve"> </w:t>
      </w:r>
      <w:r w:rsidR="004A0272">
        <w:rPr>
          <w:rFonts w:cs="Arial"/>
          <w:sz w:val="24"/>
          <w:szCs w:val="20"/>
        </w:rPr>
        <w:t xml:space="preserve">reported.  However, the </w:t>
      </w:r>
      <w:proofErr w:type="spellStart"/>
      <w:r w:rsidR="004A0272">
        <w:rPr>
          <w:rFonts w:cs="Arial"/>
          <w:sz w:val="24"/>
          <w:szCs w:val="20"/>
        </w:rPr>
        <w:t>upcast</w:t>
      </w:r>
      <w:proofErr w:type="spellEnd"/>
      <w:r w:rsidR="004A0272">
        <w:rPr>
          <w:rFonts w:cs="Arial"/>
          <w:sz w:val="24"/>
          <w:szCs w:val="20"/>
        </w:rPr>
        <w:t xml:space="preserve"> data were only reported for the specific depth range in which the downcast data were erroneous (i.e., after removing the data with negative bias from the downcast, </w:t>
      </w:r>
      <w:proofErr w:type="spellStart"/>
      <w:r w:rsidR="004A0272">
        <w:rPr>
          <w:rFonts w:cs="Arial"/>
          <w:sz w:val="24"/>
          <w:szCs w:val="20"/>
        </w:rPr>
        <w:t>upcast</w:t>
      </w:r>
      <w:proofErr w:type="spellEnd"/>
      <w:r w:rsidR="004A0272">
        <w:rPr>
          <w:rFonts w:cs="Arial"/>
          <w:sz w:val="24"/>
          <w:szCs w:val="20"/>
        </w:rPr>
        <w:t xml:space="preserve"> data were used to fill in the gaps).  In other words, data collected during the </w:t>
      </w:r>
      <w:proofErr w:type="spellStart"/>
      <w:r w:rsidR="004A0272">
        <w:rPr>
          <w:rFonts w:cs="Arial"/>
          <w:sz w:val="24"/>
          <w:szCs w:val="20"/>
        </w:rPr>
        <w:t>upcasts</w:t>
      </w:r>
      <w:proofErr w:type="spellEnd"/>
      <w:r w:rsidR="004A0272">
        <w:rPr>
          <w:rFonts w:cs="Arial"/>
          <w:sz w:val="24"/>
          <w:szCs w:val="20"/>
        </w:rPr>
        <w:t xml:space="preserve"> were used to “patch” the downcast (see Fig. 1).  This step was necessary because the oxygen concentrations recorded during the </w:t>
      </w:r>
      <w:proofErr w:type="spellStart"/>
      <w:r w:rsidR="004A0272">
        <w:rPr>
          <w:rFonts w:cs="Arial"/>
          <w:sz w:val="24"/>
          <w:szCs w:val="20"/>
        </w:rPr>
        <w:t>upcasts</w:t>
      </w:r>
      <w:proofErr w:type="spellEnd"/>
      <w:r w:rsidR="004A0272">
        <w:rPr>
          <w:rFonts w:cs="Arial"/>
          <w:sz w:val="24"/>
          <w:szCs w:val="20"/>
        </w:rPr>
        <w:t xml:space="preserve"> also exhibited biases, but these were observed in the shallowest depth range (</w:t>
      </w:r>
      <w:r w:rsidR="00335B39">
        <w:rPr>
          <w:rFonts w:cs="Arial"/>
          <w:sz w:val="24"/>
          <w:szCs w:val="20"/>
        </w:rPr>
        <w:t>0-100 m</w:t>
      </w:r>
      <w:r w:rsidR="004A0272">
        <w:rPr>
          <w:rFonts w:cs="Arial"/>
          <w:sz w:val="24"/>
          <w:szCs w:val="20"/>
        </w:rPr>
        <w:t xml:space="preserve">).  </w:t>
      </w:r>
    </w:p>
    <w:p w:rsidR="00235E7B" w:rsidRPr="00C6382F" w:rsidRDefault="004A0272" w:rsidP="00235E7B">
      <w:pPr>
        <w:rPr>
          <w:sz w:val="24"/>
        </w:rPr>
      </w:pPr>
      <w:r>
        <w:rPr>
          <w:rFonts w:cs="Arial"/>
          <w:sz w:val="24"/>
          <w:szCs w:val="20"/>
        </w:rPr>
        <w:tab/>
        <w:t>A</w:t>
      </w:r>
      <w:r w:rsidR="0080753D">
        <w:rPr>
          <w:rFonts w:cs="Arial"/>
          <w:sz w:val="24"/>
          <w:szCs w:val="20"/>
        </w:rPr>
        <w:t xml:space="preserve">n additional advance was necessary to properly align the data acquired during the </w:t>
      </w:r>
      <w:proofErr w:type="spellStart"/>
      <w:r w:rsidR="0080753D">
        <w:rPr>
          <w:rFonts w:cs="Arial"/>
          <w:sz w:val="24"/>
          <w:szCs w:val="20"/>
        </w:rPr>
        <w:t>upcast</w:t>
      </w:r>
      <w:proofErr w:type="spellEnd"/>
      <w:r w:rsidR="0080753D">
        <w:rPr>
          <w:rFonts w:cs="Arial"/>
          <w:sz w:val="24"/>
          <w:szCs w:val="20"/>
        </w:rPr>
        <w:t xml:space="preserve"> relative to pressure.  Typically, the movement of the instrument package upward through the water column results in the displacement of water parcels immediately surrounding the instrument</w:t>
      </w:r>
      <w:r w:rsidR="00335B39">
        <w:rPr>
          <w:rFonts w:cs="Arial"/>
          <w:sz w:val="24"/>
          <w:szCs w:val="20"/>
        </w:rPr>
        <w:t>(</w:t>
      </w:r>
      <w:r w:rsidR="0080753D">
        <w:rPr>
          <w:rFonts w:cs="Arial"/>
          <w:sz w:val="24"/>
          <w:szCs w:val="20"/>
        </w:rPr>
        <w:t>s</w:t>
      </w:r>
      <w:r w:rsidR="00335B39">
        <w:rPr>
          <w:rFonts w:cs="Arial"/>
          <w:sz w:val="24"/>
          <w:szCs w:val="20"/>
        </w:rPr>
        <w:t>)</w:t>
      </w:r>
      <w:r w:rsidR="0080753D">
        <w:rPr>
          <w:rFonts w:cs="Arial"/>
          <w:sz w:val="24"/>
          <w:szCs w:val="20"/>
        </w:rPr>
        <w:t xml:space="preserve">.  This is referred to as the wake effect and results in an offset between data acquired during the downcast versus the </w:t>
      </w:r>
      <w:proofErr w:type="spellStart"/>
      <w:r w:rsidR="0080753D">
        <w:rPr>
          <w:rFonts w:cs="Arial"/>
          <w:sz w:val="24"/>
          <w:szCs w:val="20"/>
        </w:rPr>
        <w:t>upcast</w:t>
      </w:r>
      <w:proofErr w:type="spellEnd"/>
      <w:r w:rsidR="0080753D">
        <w:rPr>
          <w:rFonts w:cs="Arial"/>
          <w:sz w:val="24"/>
          <w:szCs w:val="20"/>
        </w:rPr>
        <w:t xml:space="preserve"> (relative to pressure).  To correct for this wake effect, </w:t>
      </w:r>
      <w:proofErr w:type="gramStart"/>
      <w:r w:rsidR="00235E7B">
        <w:rPr>
          <w:rFonts w:cs="Arial"/>
          <w:sz w:val="24"/>
          <w:szCs w:val="20"/>
        </w:rPr>
        <w:t>the</w:t>
      </w:r>
      <w:r w:rsidR="0080753D" w:rsidRPr="00F20D6D">
        <w:rPr>
          <w:rFonts w:cs="Arial"/>
          <w:sz w:val="24"/>
          <w:szCs w:val="20"/>
        </w:rPr>
        <w:t xml:space="preserve"> dissolved oxygen</w:t>
      </w:r>
      <w:r w:rsidR="0080753D">
        <w:rPr>
          <w:rFonts w:cs="Arial"/>
          <w:sz w:val="24"/>
          <w:szCs w:val="20"/>
        </w:rPr>
        <w:t xml:space="preserve"> w</w:t>
      </w:r>
      <w:r w:rsidR="00235E7B">
        <w:rPr>
          <w:rFonts w:cs="Arial"/>
          <w:sz w:val="24"/>
          <w:szCs w:val="20"/>
        </w:rPr>
        <w:t>as</w:t>
      </w:r>
      <w:r w:rsidR="0080753D" w:rsidRPr="00F20D6D">
        <w:rPr>
          <w:rFonts w:cs="Arial"/>
          <w:sz w:val="24"/>
          <w:szCs w:val="20"/>
        </w:rPr>
        <w:t xml:space="preserve"> advanced by </w:t>
      </w:r>
      <w:r w:rsidR="0080753D">
        <w:rPr>
          <w:rFonts w:cs="Arial"/>
          <w:sz w:val="24"/>
          <w:szCs w:val="20"/>
        </w:rPr>
        <w:t xml:space="preserve">an additional </w:t>
      </w:r>
      <w:r w:rsidR="0080753D" w:rsidRPr="00F20D6D">
        <w:rPr>
          <w:rFonts w:cs="Arial"/>
          <w:sz w:val="24"/>
          <w:szCs w:val="20"/>
        </w:rPr>
        <w:t>3</w:t>
      </w:r>
      <w:r w:rsidR="0080753D">
        <w:rPr>
          <w:rFonts w:cs="Arial"/>
          <w:sz w:val="24"/>
          <w:szCs w:val="20"/>
        </w:rPr>
        <w:t>.0</w:t>
      </w:r>
      <w:r w:rsidR="0080753D" w:rsidRPr="00F20D6D">
        <w:rPr>
          <w:rFonts w:cs="Arial"/>
          <w:sz w:val="24"/>
          <w:szCs w:val="20"/>
        </w:rPr>
        <w:t xml:space="preserve"> seconds relative</w:t>
      </w:r>
      <w:proofErr w:type="gramEnd"/>
      <w:r w:rsidR="0080753D" w:rsidRPr="00F20D6D">
        <w:rPr>
          <w:rFonts w:cs="Arial"/>
          <w:sz w:val="24"/>
          <w:szCs w:val="20"/>
        </w:rPr>
        <w:t xml:space="preserve"> to pressure</w:t>
      </w:r>
      <w:r w:rsidR="0080753D">
        <w:rPr>
          <w:rFonts w:cs="Arial"/>
          <w:sz w:val="24"/>
          <w:szCs w:val="20"/>
        </w:rPr>
        <w:t xml:space="preserve">.  This advance was computed as 2 x 1.5 sec., where the 1.5 sec. advance was determined as the mean advance necessary to superimpose the downcast and </w:t>
      </w:r>
      <w:proofErr w:type="spellStart"/>
      <w:r w:rsidR="0080753D">
        <w:rPr>
          <w:rFonts w:cs="Arial"/>
          <w:sz w:val="24"/>
          <w:szCs w:val="20"/>
        </w:rPr>
        <w:t>upcast</w:t>
      </w:r>
      <w:proofErr w:type="spellEnd"/>
      <w:r w:rsidR="0080753D">
        <w:rPr>
          <w:rFonts w:cs="Arial"/>
          <w:sz w:val="24"/>
          <w:szCs w:val="20"/>
        </w:rPr>
        <w:t xml:space="preserve"> t</w:t>
      </w:r>
      <w:r w:rsidR="00844570">
        <w:rPr>
          <w:rFonts w:cs="Arial"/>
          <w:sz w:val="24"/>
          <w:szCs w:val="20"/>
        </w:rPr>
        <w:t>emperature records</w:t>
      </w:r>
      <w:r w:rsidR="0080753D">
        <w:rPr>
          <w:rFonts w:cs="Arial"/>
          <w:sz w:val="24"/>
          <w:szCs w:val="20"/>
        </w:rPr>
        <w:t xml:space="preserve">.  This advance is necessary because both the downcast and </w:t>
      </w:r>
      <w:proofErr w:type="spellStart"/>
      <w:r w:rsidR="0080753D">
        <w:rPr>
          <w:rFonts w:cs="Arial"/>
          <w:sz w:val="24"/>
          <w:szCs w:val="20"/>
        </w:rPr>
        <w:t>upcast</w:t>
      </w:r>
      <w:proofErr w:type="spellEnd"/>
      <w:r w:rsidR="0080753D">
        <w:rPr>
          <w:rFonts w:cs="Arial"/>
          <w:sz w:val="24"/>
          <w:szCs w:val="20"/>
        </w:rPr>
        <w:t xml:space="preserve"> records are shifted during the calculation of the 1.5 sec. advance.  Therefore, the advance necessary to overlay the </w:t>
      </w:r>
      <w:proofErr w:type="spellStart"/>
      <w:r w:rsidR="0080753D">
        <w:rPr>
          <w:rFonts w:cs="Arial"/>
          <w:sz w:val="24"/>
          <w:szCs w:val="20"/>
        </w:rPr>
        <w:t>upcast</w:t>
      </w:r>
      <w:proofErr w:type="spellEnd"/>
      <w:r w:rsidR="0080753D">
        <w:rPr>
          <w:rFonts w:cs="Arial"/>
          <w:sz w:val="24"/>
          <w:szCs w:val="20"/>
        </w:rPr>
        <w:t xml:space="preserve"> and the initial downcast (prior to any advancement) is 1.5 + 1.5 = 3.0 seconds.  In other words, the advanced </w:t>
      </w:r>
      <w:proofErr w:type="spellStart"/>
      <w:r w:rsidR="0080753D">
        <w:rPr>
          <w:rFonts w:cs="Arial"/>
          <w:sz w:val="24"/>
          <w:szCs w:val="20"/>
        </w:rPr>
        <w:t>upcast</w:t>
      </w:r>
      <w:proofErr w:type="spellEnd"/>
      <w:r w:rsidR="0080753D">
        <w:rPr>
          <w:rFonts w:cs="Arial"/>
          <w:sz w:val="24"/>
          <w:szCs w:val="20"/>
        </w:rPr>
        <w:t xml:space="preserve"> data should be aligned (relative to pressure) exactly as the downcast data.</w:t>
      </w:r>
      <w:r w:rsidR="00235E7B">
        <w:rPr>
          <w:rFonts w:cs="Arial"/>
          <w:sz w:val="24"/>
          <w:szCs w:val="20"/>
        </w:rPr>
        <w:t xml:space="preserve">  Oxygen concentrations from this advanced </w:t>
      </w:r>
      <w:proofErr w:type="spellStart"/>
      <w:r w:rsidR="00235E7B">
        <w:rPr>
          <w:rFonts w:cs="Arial"/>
          <w:sz w:val="24"/>
          <w:szCs w:val="20"/>
        </w:rPr>
        <w:t>upcast</w:t>
      </w:r>
      <w:proofErr w:type="spellEnd"/>
      <w:r w:rsidR="00235E7B">
        <w:rPr>
          <w:rFonts w:cs="Arial"/>
          <w:sz w:val="24"/>
          <w:szCs w:val="20"/>
        </w:rPr>
        <w:t xml:space="preserve"> data were used to “patch” portions of the downcast that exhibited significant negative bias in Casts 2-6 (e.g., see Fig. 1).  Therefore, both downcast and </w:t>
      </w:r>
      <w:proofErr w:type="spellStart"/>
      <w:r w:rsidR="00235E7B">
        <w:rPr>
          <w:rFonts w:cs="Arial"/>
          <w:sz w:val="24"/>
          <w:szCs w:val="20"/>
        </w:rPr>
        <w:t>upcast</w:t>
      </w:r>
      <w:proofErr w:type="spellEnd"/>
      <w:r w:rsidR="00235E7B">
        <w:rPr>
          <w:rFonts w:cs="Arial"/>
          <w:sz w:val="24"/>
          <w:szCs w:val="20"/>
        </w:rPr>
        <w:t xml:space="preserve"> data were merged together to construct the final data file published for these casts (see Table 1).  </w:t>
      </w:r>
      <w:r w:rsidR="00235E7B">
        <w:rPr>
          <w:sz w:val="24"/>
        </w:rPr>
        <w:t>In operating the SBE-19</w:t>
      </w:r>
      <w:r w:rsidR="00235E7B" w:rsidRPr="00C6382F">
        <w:rPr>
          <w:i/>
          <w:sz w:val="24"/>
        </w:rPr>
        <w:t>plus</w:t>
      </w:r>
      <w:r w:rsidR="00235E7B" w:rsidRPr="00C6382F">
        <w:rPr>
          <w:sz w:val="24"/>
        </w:rPr>
        <w:t xml:space="preserve"> during the NPEO hydro survey, we found that the SBE-43 oxygen readings showed significant deviations particularly when the CTD was stopped to install sample bottles. Finally we realized that this was in fact related to inertial forces acting on the water within the conductivity cell-oxygen sensor and pump plumbing. For shipboard operation Sea-Bird advises that the outlet of the plumbing system be at the same vertical position as the inlet to balance inertial forces within the plumbing; even under rapid deceleration, the pressure differential on the outlet side of the plumbing balances the pressure differential across the inlet side so that deceleration produces no net pressure difference and consequently no change in flow speed through the plumbing. With this in mind we added approximately 20 cm of </w:t>
      </w:r>
      <w:proofErr w:type="spellStart"/>
      <w:r w:rsidR="00235E7B" w:rsidRPr="00C6382F">
        <w:rPr>
          <w:sz w:val="24"/>
        </w:rPr>
        <w:t>Tygon</w:t>
      </w:r>
      <w:proofErr w:type="spellEnd"/>
      <w:r w:rsidR="00235E7B" w:rsidRPr="00C6382F">
        <w:rPr>
          <w:sz w:val="24"/>
        </w:rPr>
        <w:t xml:space="preserve"> tubing to the outlet side of the Sea-Bird pump and terminated this a few cm about the inlet to the conductivity cell. This simple addition eliminated the acceleration-deceleration induced excursions in the oxygen readings. </w:t>
      </w:r>
    </w:p>
    <w:p w:rsidR="0080753D" w:rsidRPr="00070869" w:rsidRDefault="00235E7B" w:rsidP="0080753D">
      <w:pPr>
        <w:widowControl w:val="0"/>
        <w:autoSpaceDE w:val="0"/>
        <w:autoSpaceDN w:val="0"/>
        <w:adjustRightInd w:val="0"/>
        <w:rPr>
          <w:rFonts w:cs="Arial"/>
          <w:sz w:val="24"/>
          <w:szCs w:val="20"/>
        </w:rPr>
      </w:pPr>
      <w:r>
        <w:rPr>
          <w:rFonts w:cs="Arial"/>
          <w:sz w:val="24"/>
          <w:szCs w:val="20"/>
        </w:rPr>
        <w:t xml:space="preserve">  </w:t>
      </w:r>
    </w:p>
    <w:p w:rsidR="00571CB4" w:rsidRDefault="00571CB4">
      <w:pPr>
        <w:rPr>
          <w:sz w:val="24"/>
        </w:rPr>
      </w:pPr>
    </w:p>
    <w:p w:rsidR="00571CB4" w:rsidRDefault="00571CB4">
      <w:pPr>
        <w:rPr>
          <w:sz w:val="24"/>
        </w:rPr>
      </w:pPr>
    </w:p>
    <w:p w:rsidR="00571CB4" w:rsidRDefault="00571CB4">
      <w:pPr>
        <w:rPr>
          <w:sz w:val="24"/>
        </w:rPr>
      </w:pPr>
      <w:r>
        <w:rPr>
          <w:noProof/>
          <w:sz w:val="24"/>
        </w:rPr>
        <w:drawing>
          <wp:inline distT="0" distB="0" distL="0" distR="0">
            <wp:extent cx="5486400" cy="3857157"/>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486400" cy="3857157"/>
                    </a:xfrm>
                    <a:prstGeom prst="rect">
                      <a:avLst/>
                    </a:prstGeom>
                    <a:noFill/>
                    <a:ln w="9525">
                      <a:noFill/>
                      <a:miter lim="800000"/>
                      <a:headEnd/>
                      <a:tailEnd/>
                    </a:ln>
                  </pic:spPr>
                </pic:pic>
              </a:graphicData>
            </a:graphic>
          </wp:inline>
        </w:drawing>
      </w:r>
    </w:p>
    <w:p w:rsidR="00571CB4" w:rsidRPr="00571CB4" w:rsidRDefault="00571CB4">
      <w:pPr>
        <w:rPr>
          <w:rFonts w:ascii="Arial" w:hAnsi="Arial"/>
          <w:sz w:val="20"/>
        </w:rPr>
      </w:pPr>
      <w:r w:rsidRPr="00571CB4">
        <w:rPr>
          <w:rFonts w:ascii="Arial" w:hAnsi="Arial"/>
          <w:b/>
          <w:sz w:val="20"/>
        </w:rPr>
        <w:t>Figure 1.</w:t>
      </w:r>
      <w:r w:rsidRPr="00571CB4">
        <w:rPr>
          <w:rFonts w:ascii="Arial" w:hAnsi="Arial"/>
          <w:sz w:val="20"/>
        </w:rPr>
        <w:t xml:space="preserve">  Vertical profiles of dissolved oxygen measured during the down (blue) and up (red) casts at station 86N, 90E during NPEO 2014.  The Merged profile substitutes data collected durin</w:t>
      </w:r>
      <w:r w:rsidR="006B3965">
        <w:rPr>
          <w:rFonts w:ascii="Arial" w:hAnsi="Arial"/>
          <w:sz w:val="20"/>
        </w:rPr>
        <w:t xml:space="preserve">g the </w:t>
      </w:r>
      <w:proofErr w:type="spellStart"/>
      <w:r w:rsidR="006B3965">
        <w:rPr>
          <w:rFonts w:ascii="Arial" w:hAnsi="Arial"/>
          <w:sz w:val="20"/>
        </w:rPr>
        <w:t>upcast</w:t>
      </w:r>
      <w:proofErr w:type="spellEnd"/>
      <w:r w:rsidR="006B3965">
        <w:rPr>
          <w:rFonts w:ascii="Arial" w:hAnsi="Arial"/>
          <w:sz w:val="20"/>
        </w:rPr>
        <w:t xml:space="preserve"> for the negatively </w:t>
      </w:r>
      <w:r w:rsidRPr="00571CB4">
        <w:rPr>
          <w:rFonts w:ascii="Arial" w:hAnsi="Arial"/>
          <w:sz w:val="20"/>
        </w:rPr>
        <w:t xml:space="preserve">biased data </w:t>
      </w:r>
      <w:r w:rsidR="006B3965">
        <w:rPr>
          <w:rFonts w:ascii="Arial" w:hAnsi="Arial"/>
          <w:sz w:val="20"/>
        </w:rPr>
        <w:t>recorded</w:t>
      </w:r>
      <w:r w:rsidRPr="00571CB4">
        <w:rPr>
          <w:rFonts w:ascii="Arial" w:hAnsi="Arial"/>
          <w:sz w:val="20"/>
        </w:rPr>
        <w:t xml:space="preserve"> during the downcast.  Merged data are reported for Casts </w:t>
      </w:r>
      <w:r w:rsidR="001132E8">
        <w:rPr>
          <w:rFonts w:ascii="Arial" w:hAnsi="Arial"/>
          <w:sz w:val="20"/>
        </w:rPr>
        <w:t>2</w:t>
      </w:r>
      <w:r w:rsidRPr="00571CB4">
        <w:rPr>
          <w:rFonts w:ascii="Arial" w:hAnsi="Arial"/>
          <w:sz w:val="20"/>
        </w:rPr>
        <w:t>-6 (Table 1).</w:t>
      </w:r>
    </w:p>
    <w:p w:rsidR="00174931" w:rsidRPr="00174931" w:rsidRDefault="00174931">
      <w:pPr>
        <w:rPr>
          <w:sz w:val="24"/>
        </w:rPr>
      </w:pPr>
    </w:p>
    <w:p w:rsidR="00F9389E" w:rsidRDefault="00C6382F">
      <w:pPr>
        <w:rPr>
          <w:sz w:val="24"/>
        </w:rPr>
      </w:pPr>
      <w:r>
        <w:rPr>
          <w:sz w:val="24"/>
        </w:rPr>
        <w:tab/>
      </w:r>
    </w:p>
    <w:p w:rsidR="00366950" w:rsidRPr="00366950" w:rsidRDefault="00366950">
      <w:pPr>
        <w:rPr>
          <w:i/>
          <w:sz w:val="24"/>
        </w:rPr>
      </w:pPr>
      <w:r w:rsidRPr="00366950">
        <w:rPr>
          <w:i/>
          <w:sz w:val="24"/>
        </w:rPr>
        <w:t>Comparison between CTD and bottle oxygen concentrations</w:t>
      </w:r>
    </w:p>
    <w:p w:rsidR="00366950" w:rsidRDefault="00366950">
      <w:pPr>
        <w:rPr>
          <w:sz w:val="24"/>
        </w:rPr>
      </w:pPr>
      <w:r>
        <w:rPr>
          <w:sz w:val="24"/>
        </w:rPr>
        <w:tab/>
        <w:t xml:space="preserve">The oxygen concentrations measured by the Seabird SBE43 sensors agreed well with those derived from discrete samples collected using the </w:t>
      </w:r>
      <w:proofErr w:type="spellStart"/>
      <w:r>
        <w:rPr>
          <w:sz w:val="24"/>
        </w:rPr>
        <w:t>Niskin</w:t>
      </w:r>
      <w:proofErr w:type="spellEnd"/>
      <w:r>
        <w:rPr>
          <w:sz w:val="24"/>
        </w:rPr>
        <w:t xml:space="preserve"> bottles and analyzed using the Winkler method</w:t>
      </w:r>
      <w:r w:rsidR="006B3CBA">
        <w:rPr>
          <w:sz w:val="24"/>
        </w:rPr>
        <w:t xml:space="preserve"> (Fig. 2)</w:t>
      </w:r>
      <w:r>
        <w:rPr>
          <w:sz w:val="24"/>
        </w:rPr>
        <w:t xml:space="preserve">.  This good agreement suggests the </w:t>
      </w:r>
      <w:r w:rsidR="006B3CBA">
        <w:rPr>
          <w:sz w:val="24"/>
        </w:rPr>
        <w:t xml:space="preserve">sensor-based data can be used without adjustment to the factory calibration coefficients.  However, the constant offset of 0.12 </w:t>
      </w:r>
      <w:proofErr w:type="spellStart"/>
      <w:r w:rsidR="006B3CBA">
        <w:rPr>
          <w:sz w:val="24"/>
        </w:rPr>
        <w:t>mL</w:t>
      </w:r>
      <w:proofErr w:type="spellEnd"/>
      <w:r w:rsidR="006B3CBA">
        <w:rPr>
          <w:sz w:val="24"/>
        </w:rPr>
        <w:t xml:space="preserve"> L</w:t>
      </w:r>
      <w:r w:rsidR="006B3CBA" w:rsidRPr="006B3CBA">
        <w:rPr>
          <w:sz w:val="24"/>
          <w:vertAlign w:val="superscript"/>
        </w:rPr>
        <w:t>-1</w:t>
      </w:r>
      <w:r w:rsidR="006B3CBA">
        <w:rPr>
          <w:sz w:val="24"/>
        </w:rPr>
        <w:t xml:space="preserve"> suggests the sensor data may underestimate the true oxygen concentrations by this amount.  However, </w:t>
      </w:r>
      <w:r w:rsidR="00137DE1">
        <w:rPr>
          <w:sz w:val="24"/>
        </w:rPr>
        <w:t xml:space="preserve">according to specifications published by the manufacturer, </w:t>
      </w:r>
      <w:r w:rsidR="006B3CBA">
        <w:rPr>
          <w:sz w:val="24"/>
        </w:rPr>
        <w:t xml:space="preserve">oxygen concentrations measured by the sensor should be accurate </w:t>
      </w:r>
      <w:r w:rsidR="0073244D">
        <w:rPr>
          <w:sz w:val="24"/>
        </w:rPr>
        <w:t xml:space="preserve">to </w:t>
      </w:r>
      <w:r w:rsidR="006B3CBA">
        <w:rPr>
          <w:sz w:val="24"/>
        </w:rPr>
        <w:t xml:space="preserve">within ± 0.1 </w:t>
      </w:r>
      <w:proofErr w:type="spellStart"/>
      <w:r w:rsidR="006B3CBA">
        <w:rPr>
          <w:sz w:val="24"/>
        </w:rPr>
        <w:t>mL</w:t>
      </w:r>
      <w:proofErr w:type="spellEnd"/>
      <w:r w:rsidR="006B3CBA">
        <w:rPr>
          <w:sz w:val="24"/>
        </w:rPr>
        <w:t xml:space="preserve"> L</w:t>
      </w:r>
      <w:r w:rsidR="006B3CBA" w:rsidRPr="006B3CBA">
        <w:rPr>
          <w:sz w:val="24"/>
          <w:vertAlign w:val="superscript"/>
        </w:rPr>
        <w:t>-1</w:t>
      </w:r>
      <w:r w:rsidR="006B3CBA">
        <w:rPr>
          <w:sz w:val="24"/>
        </w:rPr>
        <w:t xml:space="preserve">, quite close to the estimated offset.  </w:t>
      </w:r>
      <w:r w:rsidR="00137DE1">
        <w:rPr>
          <w:sz w:val="24"/>
        </w:rPr>
        <w:t xml:space="preserve">In addition, a comparison of three separate profiles collected at station </w:t>
      </w:r>
      <w:proofErr w:type="spellStart"/>
      <w:r w:rsidR="00137DE1">
        <w:rPr>
          <w:sz w:val="24"/>
        </w:rPr>
        <w:t>Barneo</w:t>
      </w:r>
      <w:proofErr w:type="spellEnd"/>
      <w:r w:rsidR="00137DE1">
        <w:rPr>
          <w:sz w:val="24"/>
        </w:rPr>
        <w:t xml:space="preserve"> (Casts 1, 4, and 8; see Table 1) indicated that the oxygen concentrations agreed to within ± 0.15 </w:t>
      </w:r>
      <w:proofErr w:type="spellStart"/>
      <w:r w:rsidR="00137DE1">
        <w:rPr>
          <w:sz w:val="24"/>
        </w:rPr>
        <w:t>mL</w:t>
      </w:r>
      <w:proofErr w:type="spellEnd"/>
      <w:r w:rsidR="00137DE1">
        <w:rPr>
          <w:sz w:val="24"/>
        </w:rPr>
        <w:t xml:space="preserve"> L</w:t>
      </w:r>
      <w:r w:rsidR="00137DE1" w:rsidRPr="006B3CBA">
        <w:rPr>
          <w:sz w:val="24"/>
          <w:vertAlign w:val="superscript"/>
        </w:rPr>
        <w:t>-1</w:t>
      </w:r>
      <w:r w:rsidR="00137DE1">
        <w:rPr>
          <w:sz w:val="24"/>
        </w:rPr>
        <w:t xml:space="preserve"> in the mixed layer and within features (minimum or maximum oxygen layers) common among the profiles (data not shown).  </w:t>
      </w:r>
      <w:r w:rsidR="006B3CBA">
        <w:rPr>
          <w:sz w:val="24"/>
        </w:rPr>
        <w:t xml:space="preserve">We have therefore applied no correction to the oxygen concentrations derived from the oxygen sensor and leave the decision to the user whether or not </w:t>
      </w:r>
      <w:r w:rsidR="0073244D">
        <w:rPr>
          <w:sz w:val="24"/>
        </w:rPr>
        <w:t xml:space="preserve">to </w:t>
      </w:r>
      <w:r w:rsidR="006B3CBA">
        <w:rPr>
          <w:sz w:val="24"/>
        </w:rPr>
        <w:t xml:space="preserve">correct for this </w:t>
      </w:r>
      <w:r w:rsidR="0073244D">
        <w:rPr>
          <w:sz w:val="24"/>
        </w:rPr>
        <w:t xml:space="preserve">apparent </w:t>
      </w:r>
      <w:r w:rsidR="006B3CBA">
        <w:rPr>
          <w:sz w:val="24"/>
        </w:rPr>
        <w:t>offset.</w:t>
      </w:r>
      <w:r w:rsidR="00137DE1">
        <w:rPr>
          <w:sz w:val="24"/>
        </w:rPr>
        <w:t xml:space="preserve"> </w:t>
      </w:r>
    </w:p>
    <w:p w:rsidR="00366950" w:rsidRDefault="00366950">
      <w:pPr>
        <w:rPr>
          <w:sz w:val="24"/>
        </w:rPr>
      </w:pPr>
      <w:r>
        <w:rPr>
          <w:noProof/>
          <w:sz w:val="24"/>
        </w:rPr>
        <w:drawing>
          <wp:inline distT="0" distB="0" distL="0" distR="0">
            <wp:extent cx="5486400" cy="3364812"/>
            <wp:effectExtent l="2540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5486400" cy="3364812"/>
                    </a:xfrm>
                    <a:prstGeom prst="rect">
                      <a:avLst/>
                    </a:prstGeom>
                    <a:noFill/>
                    <a:ln w="9525">
                      <a:noFill/>
                      <a:miter lim="800000"/>
                      <a:headEnd/>
                      <a:tailEnd/>
                    </a:ln>
                  </pic:spPr>
                </pic:pic>
              </a:graphicData>
            </a:graphic>
          </wp:inline>
        </w:drawing>
      </w:r>
    </w:p>
    <w:p w:rsidR="00F9389E" w:rsidRPr="006B3CBA" w:rsidRDefault="00366950">
      <w:pPr>
        <w:rPr>
          <w:rFonts w:ascii="Arial" w:hAnsi="Arial"/>
          <w:sz w:val="20"/>
        </w:rPr>
      </w:pPr>
      <w:r w:rsidRPr="006B3CBA">
        <w:rPr>
          <w:rFonts w:ascii="Arial" w:hAnsi="Arial"/>
          <w:b/>
          <w:sz w:val="20"/>
        </w:rPr>
        <w:t>Figure 2.</w:t>
      </w:r>
      <w:r w:rsidRPr="006B3CBA">
        <w:rPr>
          <w:rFonts w:ascii="Arial" w:hAnsi="Arial"/>
          <w:sz w:val="20"/>
        </w:rPr>
        <w:t xml:space="preserve">  Linear regression of oxygen concentrations derived from discrete samples collected from </w:t>
      </w:r>
      <w:proofErr w:type="spellStart"/>
      <w:r w:rsidRPr="006B3CBA">
        <w:rPr>
          <w:rFonts w:ascii="Arial" w:hAnsi="Arial"/>
          <w:sz w:val="20"/>
        </w:rPr>
        <w:t>Niskin</w:t>
      </w:r>
      <w:proofErr w:type="spellEnd"/>
      <w:r w:rsidRPr="006B3CBA">
        <w:rPr>
          <w:rFonts w:ascii="Arial" w:hAnsi="Arial"/>
          <w:sz w:val="20"/>
        </w:rPr>
        <w:t xml:space="preserve"> bottles and analyzed using the Winkler method (x-axis) against concentrations measured by Seabird SBE43 sensors (y-axis).  </w:t>
      </w:r>
    </w:p>
    <w:p w:rsidR="00174931" w:rsidRPr="00174931" w:rsidRDefault="00174931">
      <w:pPr>
        <w:rPr>
          <w:sz w:val="24"/>
        </w:rPr>
      </w:pPr>
    </w:p>
    <w:p w:rsidR="00F9389E" w:rsidRPr="006245E5" w:rsidRDefault="00F9389E" w:rsidP="00F9389E">
      <w:pPr>
        <w:rPr>
          <w:sz w:val="24"/>
        </w:rPr>
      </w:pPr>
      <w:r w:rsidRPr="006245E5">
        <w:rPr>
          <w:sz w:val="24"/>
        </w:rPr>
        <w:t>The final data files each consist of 12 columns of data:</w:t>
      </w:r>
    </w:p>
    <w:p w:rsidR="00F9389E" w:rsidRPr="006245E5" w:rsidRDefault="00F9389E" w:rsidP="00F9389E">
      <w:pPr>
        <w:autoSpaceDE w:val="0"/>
        <w:autoSpaceDN w:val="0"/>
        <w:adjustRightInd w:val="0"/>
        <w:rPr>
          <w:rFonts w:ascii="Courier New" w:hAnsi="Courier New"/>
          <w:sz w:val="24"/>
        </w:rPr>
      </w:pPr>
    </w:p>
    <w:p w:rsidR="00F9389E" w:rsidRPr="006245E5" w:rsidRDefault="00F9389E" w:rsidP="00F9389E">
      <w:pPr>
        <w:autoSpaceDE w:val="0"/>
        <w:autoSpaceDN w:val="0"/>
        <w:adjustRightInd w:val="0"/>
        <w:rPr>
          <w:rFonts w:cs="Times"/>
          <w:sz w:val="24"/>
        </w:rPr>
      </w:pPr>
      <w:r w:rsidRPr="006245E5">
        <w:rPr>
          <w:rFonts w:cs="Times"/>
          <w:b/>
          <w:sz w:val="24"/>
        </w:rPr>
        <w:t xml:space="preserve">(1) = </w:t>
      </w:r>
      <w:r w:rsidR="006B3CBA">
        <w:rPr>
          <w:rFonts w:cs="Times"/>
          <w:b/>
          <w:sz w:val="24"/>
        </w:rPr>
        <w:t>Scan</w:t>
      </w:r>
    </w:p>
    <w:p w:rsidR="00F9389E" w:rsidRPr="006245E5" w:rsidRDefault="00F9389E" w:rsidP="00F9389E">
      <w:pPr>
        <w:autoSpaceDE w:val="0"/>
        <w:autoSpaceDN w:val="0"/>
        <w:adjustRightInd w:val="0"/>
        <w:rPr>
          <w:rFonts w:cs="Times"/>
          <w:sz w:val="24"/>
        </w:rPr>
      </w:pPr>
      <w:r w:rsidRPr="006245E5">
        <w:rPr>
          <w:rFonts w:cs="Times"/>
          <w:b/>
          <w:sz w:val="24"/>
        </w:rPr>
        <w:t xml:space="preserve">(2) = Pressure, Strain Gauge [db] </w:t>
      </w:r>
    </w:p>
    <w:p w:rsidR="00F9389E" w:rsidRPr="006245E5" w:rsidRDefault="00F9389E" w:rsidP="00F9389E">
      <w:pPr>
        <w:autoSpaceDE w:val="0"/>
        <w:autoSpaceDN w:val="0"/>
        <w:adjustRightInd w:val="0"/>
        <w:rPr>
          <w:rFonts w:cs="Times"/>
          <w:sz w:val="24"/>
        </w:rPr>
      </w:pPr>
      <w:r w:rsidRPr="006245E5">
        <w:rPr>
          <w:rFonts w:cs="Times"/>
          <w:b/>
          <w:sz w:val="24"/>
        </w:rPr>
        <w:t>(3) = Temperature [ITS-90, deg C]</w:t>
      </w:r>
    </w:p>
    <w:p w:rsidR="00F9389E" w:rsidRPr="006245E5" w:rsidRDefault="00F9389E" w:rsidP="00F9389E">
      <w:pPr>
        <w:autoSpaceDE w:val="0"/>
        <w:autoSpaceDN w:val="0"/>
        <w:adjustRightInd w:val="0"/>
        <w:rPr>
          <w:rFonts w:cs="Times"/>
          <w:sz w:val="24"/>
        </w:rPr>
      </w:pPr>
      <w:r>
        <w:rPr>
          <w:rFonts w:cs="Times"/>
          <w:b/>
          <w:sz w:val="24"/>
        </w:rPr>
        <w:t>(4</w:t>
      </w:r>
      <w:r w:rsidRPr="006245E5">
        <w:rPr>
          <w:rFonts w:cs="Times"/>
          <w:b/>
          <w:sz w:val="24"/>
        </w:rPr>
        <w:t>) = Depth [salt water, m], lat = 8</w:t>
      </w:r>
      <w:r>
        <w:rPr>
          <w:rFonts w:cs="Times"/>
          <w:b/>
          <w:sz w:val="24"/>
        </w:rPr>
        <w:t>7</w:t>
      </w:r>
    </w:p>
    <w:p w:rsidR="00F9389E" w:rsidRPr="006245E5" w:rsidRDefault="00F9389E" w:rsidP="00F9389E">
      <w:pPr>
        <w:autoSpaceDE w:val="0"/>
        <w:autoSpaceDN w:val="0"/>
        <w:adjustRightInd w:val="0"/>
        <w:rPr>
          <w:rFonts w:cs="Times"/>
          <w:sz w:val="24"/>
        </w:rPr>
      </w:pPr>
      <w:r>
        <w:rPr>
          <w:rFonts w:cs="Times"/>
          <w:b/>
          <w:sz w:val="24"/>
        </w:rPr>
        <w:t>(5</w:t>
      </w:r>
      <w:r w:rsidRPr="006245E5">
        <w:rPr>
          <w:rFonts w:cs="Times"/>
          <w:b/>
          <w:sz w:val="24"/>
        </w:rPr>
        <w:t xml:space="preserve">) = Potential Temperature [ITS-90, deg C] </w:t>
      </w:r>
    </w:p>
    <w:p w:rsidR="00F9389E" w:rsidRPr="006245E5" w:rsidRDefault="00F9389E" w:rsidP="00F9389E">
      <w:pPr>
        <w:autoSpaceDE w:val="0"/>
        <w:autoSpaceDN w:val="0"/>
        <w:adjustRightInd w:val="0"/>
        <w:rPr>
          <w:rFonts w:cs="Times"/>
          <w:sz w:val="24"/>
        </w:rPr>
      </w:pPr>
      <w:r>
        <w:rPr>
          <w:rFonts w:cs="Times"/>
          <w:b/>
          <w:sz w:val="24"/>
        </w:rPr>
        <w:t xml:space="preserve">(6) = </w:t>
      </w:r>
      <w:r w:rsidRPr="006245E5">
        <w:rPr>
          <w:rFonts w:cs="Times"/>
          <w:b/>
          <w:sz w:val="24"/>
        </w:rPr>
        <w:t>Salinity [PSU]</w:t>
      </w:r>
    </w:p>
    <w:p w:rsidR="00F9389E" w:rsidRPr="006245E5" w:rsidRDefault="00F9389E" w:rsidP="00F9389E">
      <w:pPr>
        <w:autoSpaceDE w:val="0"/>
        <w:autoSpaceDN w:val="0"/>
        <w:adjustRightInd w:val="0"/>
        <w:rPr>
          <w:rFonts w:cs="Times"/>
          <w:sz w:val="24"/>
        </w:rPr>
      </w:pPr>
      <w:r>
        <w:rPr>
          <w:rFonts w:cs="Times"/>
          <w:b/>
          <w:sz w:val="24"/>
        </w:rPr>
        <w:t>(7</w:t>
      </w:r>
      <w:r w:rsidRPr="006245E5">
        <w:rPr>
          <w:rFonts w:cs="Times"/>
          <w:b/>
          <w:sz w:val="24"/>
        </w:rPr>
        <w:t xml:space="preserve">) = </w:t>
      </w:r>
      <w:r>
        <w:rPr>
          <w:rFonts w:cs="Times"/>
          <w:b/>
          <w:sz w:val="24"/>
        </w:rPr>
        <w:t>Potential Density [sigma-theta, kg m</w:t>
      </w:r>
      <w:r w:rsidRPr="00B71DEE">
        <w:rPr>
          <w:rFonts w:cs="Times"/>
          <w:b/>
          <w:sz w:val="24"/>
          <w:vertAlign w:val="superscript"/>
        </w:rPr>
        <w:t>-3</w:t>
      </w:r>
      <w:r w:rsidRPr="006245E5">
        <w:rPr>
          <w:rFonts w:cs="Times"/>
          <w:b/>
          <w:sz w:val="24"/>
        </w:rPr>
        <w:t>]</w:t>
      </w:r>
    </w:p>
    <w:p w:rsidR="00F9389E" w:rsidRDefault="00F9389E" w:rsidP="00F9389E">
      <w:pPr>
        <w:autoSpaceDE w:val="0"/>
        <w:autoSpaceDN w:val="0"/>
        <w:adjustRightInd w:val="0"/>
        <w:rPr>
          <w:rFonts w:cs="Times"/>
          <w:b/>
          <w:sz w:val="24"/>
        </w:rPr>
      </w:pPr>
      <w:r>
        <w:rPr>
          <w:rFonts w:cs="Times"/>
          <w:b/>
          <w:sz w:val="24"/>
        </w:rPr>
        <w:t>(8</w:t>
      </w:r>
      <w:r w:rsidRPr="006245E5">
        <w:rPr>
          <w:rFonts w:cs="Times"/>
          <w:b/>
          <w:sz w:val="24"/>
        </w:rPr>
        <w:t xml:space="preserve">) = Oxygen </w:t>
      </w:r>
      <w:r>
        <w:rPr>
          <w:rFonts w:cs="Times"/>
          <w:b/>
          <w:sz w:val="24"/>
        </w:rPr>
        <w:t>[</w:t>
      </w:r>
      <w:proofErr w:type="spellStart"/>
      <w:r>
        <w:rPr>
          <w:rFonts w:cs="Times"/>
          <w:b/>
          <w:sz w:val="24"/>
        </w:rPr>
        <w:t>mL</w:t>
      </w:r>
      <w:proofErr w:type="spellEnd"/>
      <w:r>
        <w:rPr>
          <w:rFonts w:cs="Times"/>
          <w:b/>
          <w:sz w:val="24"/>
        </w:rPr>
        <w:t xml:space="preserve"> L</w:t>
      </w:r>
      <w:r w:rsidRPr="00B71DEE">
        <w:rPr>
          <w:rFonts w:cs="Times"/>
          <w:b/>
          <w:sz w:val="24"/>
          <w:vertAlign w:val="superscript"/>
        </w:rPr>
        <w:t>-1</w:t>
      </w:r>
      <w:r>
        <w:rPr>
          <w:rFonts w:cs="Times"/>
          <w:b/>
          <w:sz w:val="24"/>
        </w:rPr>
        <w:t>]</w:t>
      </w:r>
    </w:p>
    <w:p w:rsidR="00F9389E" w:rsidRPr="006245E5" w:rsidRDefault="00F9389E" w:rsidP="00F9389E">
      <w:pPr>
        <w:autoSpaceDE w:val="0"/>
        <w:autoSpaceDN w:val="0"/>
        <w:adjustRightInd w:val="0"/>
        <w:rPr>
          <w:rFonts w:cs="Times"/>
          <w:b/>
          <w:sz w:val="24"/>
        </w:rPr>
      </w:pPr>
      <w:r>
        <w:rPr>
          <w:rFonts w:cs="Times"/>
          <w:b/>
          <w:sz w:val="24"/>
        </w:rPr>
        <w:t>(9</w:t>
      </w:r>
      <w:r w:rsidRPr="006245E5">
        <w:rPr>
          <w:rFonts w:cs="Times"/>
          <w:b/>
          <w:sz w:val="24"/>
        </w:rPr>
        <w:t xml:space="preserve">) = Oxygen </w:t>
      </w:r>
      <w:r>
        <w:rPr>
          <w:rFonts w:cs="Times"/>
          <w:b/>
          <w:sz w:val="24"/>
        </w:rPr>
        <w:t>[</w:t>
      </w:r>
      <w:proofErr w:type="spellStart"/>
      <w:r>
        <w:rPr>
          <w:rFonts w:cs="Times"/>
          <w:b/>
          <w:sz w:val="24"/>
        </w:rPr>
        <w:t>mmol</w:t>
      </w:r>
      <w:proofErr w:type="spellEnd"/>
      <w:r>
        <w:rPr>
          <w:rFonts w:cs="Times"/>
          <w:b/>
          <w:sz w:val="24"/>
        </w:rPr>
        <w:t xml:space="preserve"> m</w:t>
      </w:r>
      <w:r w:rsidRPr="00B71DEE">
        <w:rPr>
          <w:rFonts w:cs="Times"/>
          <w:b/>
          <w:sz w:val="24"/>
          <w:vertAlign w:val="superscript"/>
        </w:rPr>
        <w:t>-3</w:t>
      </w:r>
      <w:r>
        <w:rPr>
          <w:rFonts w:cs="Times"/>
          <w:b/>
          <w:sz w:val="24"/>
        </w:rPr>
        <w:t>]</w:t>
      </w:r>
    </w:p>
    <w:p w:rsidR="00F9389E" w:rsidRPr="006245E5" w:rsidRDefault="00F9389E" w:rsidP="00F9389E">
      <w:pPr>
        <w:autoSpaceDE w:val="0"/>
        <w:autoSpaceDN w:val="0"/>
        <w:adjustRightInd w:val="0"/>
        <w:rPr>
          <w:rFonts w:cs="Times"/>
          <w:b/>
          <w:sz w:val="24"/>
        </w:rPr>
      </w:pPr>
      <w:r>
        <w:rPr>
          <w:rFonts w:cs="Times"/>
          <w:b/>
          <w:sz w:val="24"/>
        </w:rPr>
        <w:t>(10</w:t>
      </w:r>
      <w:r w:rsidRPr="006245E5">
        <w:rPr>
          <w:rFonts w:cs="Times"/>
          <w:b/>
          <w:sz w:val="24"/>
        </w:rPr>
        <w:t>) = Oxygen [</w:t>
      </w:r>
      <w:r w:rsidRPr="006245E5">
        <w:rPr>
          <w:rFonts w:ascii="Symbol" w:hAnsi="Symbol" w:cs="Times"/>
          <w:b/>
          <w:sz w:val="24"/>
        </w:rPr>
        <w:t></w:t>
      </w:r>
      <w:r>
        <w:rPr>
          <w:rFonts w:cs="Times"/>
          <w:b/>
          <w:sz w:val="24"/>
        </w:rPr>
        <w:t xml:space="preserve">mol </w:t>
      </w:r>
      <w:r w:rsidRPr="006245E5">
        <w:rPr>
          <w:rFonts w:cs="Times"/>
          <w:b/>
          <w:sz w:val="24"/>
        </w:rPr>
        <w:t>kg</w:t>
      </w:r>
      <w:r w:rsidRPr="00B71DEE">
        <w:rPr>
          <w:rFonts w:cs="Times"/>
          <w:b/>
          <w:sz w:val="24"/>
          <w:vertAlign w:val="superscript"/>
        </w:rPr>
        <w:t>-1</w:t>
      </w:r>
      <w:r>
        <w:rPr>
          <w:rFonts w:cs="Times"/>
          <w:b/>
          <w:sz w:val="24"/>
        </w:rPr>
        <w:t>]</w:t>
      </w:r>
    </w:p>
    <w:p w:rsidR="00F9389E" w:rsidRPr="006245E5" w:rsidRDefault="00F9389E" w:rsidP="00F9389E">
      <w:pPr>
        <w:autoSpaceDE w:val="0"/>
        <w:autoSpaceDN w:val="0"/>
        <w:adjustRightInd w:val="0"/>
        <w:rPr>
          <w:rFonts w:cs="Times"/>
          <w:b/>
          <w:sz w:val="24"/>
        </w:rPr>
      </w:pPr>
      <w:r>
        <w:rPr>
          <w:rFonts w:cs="Times"/>
          <w:b/>
          <w:sz w:val="24"/>
        </w:rPr>
        <w:t xml:space="preserve">(11) = </w:t>
      </w:r>
      <w:proofErr w:type="spellStart"/>
      <w:proofErr w:type="gramStart"/>
      <w:r>
        <w:rPr>
          <w:rFonts w:cs="Times"/>
          <w:b/>
          <w:sz w:val="24"/>
        </w:rPr>
        <w:t>oxsat</w:t>
      </w:r>
      <w:proofErr w:type="spellEnd"/>
      <w:proofErr w:type="gramEnd"/>
      <w:r>
        <w:rPr>
          <w:rFonts w:cs="Times"/>
          <w:b/>
          <w:sz w:val="24"/>
        </w:rPr>
        <w:t xml:space="preserve">  [</w:t>
      </w:r>
      <w:proofErr w:type="spellStart"/>
      <w:r>
        <w:rPr>
          <w:rFonts w:cs="Times"/>
          <w:b/>
          <w:sz w:val="24"/>
        </w:rPr>
        <w:t>mL</w:t>
      </w:r>
      <w:proofErr w:type="spellEnd"/>
      <w:r>
        <w:rPr>
          <w:rFonts w:cs="Times"/>
          <w:b/>
          <w:sz w:val="24"/>
        </w:rPr>
        <w:t xml:space="preserve"> L</w:t>
      </w:r>
      <w:r w:rsidRPr="00B71DEE">
        <w:rPr>
          <w:rFonts w:cs="Times"/>
          <w:b/>
          <w:sz w:val="24"/>
          <w:vertAlign w:val="superscript"/>
        </w:rPr>
        <w:t>-1</w:t>
      </w:r>
      <w:r w:rsidRPr="006245E5">
        <w:rPr>
          <w:rFonts w:cs="Times"/>
          <w:b/>
          <w:sz w:val="24"/>
        </w:rPr>
        <w:t xml:space="preserve">], calculation method: </w:t>
      </w:r>
      <w:proofErr w:type="spellStart"/>
      <w:r w:rsidRPr="006245E5">
        <w:rPr>
          <w:rFonts w:cs="Times"/>
          <w:b/>
          <w:sz w:val="24"/>
        </w:rPr>
        <w:t>garcia-gordon</w:t>
      </w:r>
      <w:proofErr w:type="spellEnd"/>
    </w:p>
    <w:p w:rsidR="002C3A2B" w:rsidRDefault="002C3A2B">
      <w:pPr>
        <w:rPr>
          <w:sz w:val="24"/>
        </w:rPr>
      </w:pPr>
    </w:p>
    <w:p w:rsidR="00F060C9" w:rsidRDefault="00F060C9">
      <w:pPr>
        <w:rPr>
          <w:sz w:val="24"/>
        </w:rPr>
      </w:pPr>
    </w:p>
    <w:p w:rsidR="00F060C9" w:rsidRDefault="00F060C9" w:rsidP="00F060C9">
      <w:r>
        <w:t>This data was collected under the support of NSF grant OPP-0634122 to K. Falkner and OPP-9910305 to J. Morison.  Any opinions, findings, and conclusions or recommendations expressed in this material are those of the author(s) and do not necessarily reflect the views of the National Science Foundation.</w:t>
      </w:r>
    </w:p>
    <w:p w:rsidR="00F060C9" w:rsidRDefault="00F060C9" w:rsidP="00F060C9"/>
    <w:p w:rsidR="00F060C9" w:rsidRDefault="00F060C9" w:rsidP="00F060C9">
      <w:r>
        <w:t>For further information, please contact:</w:t>
      </w:r>
    </w:p>
    <w:p w:rsidR="00F060C9" w:rsidRDefault="00F060C9" w:rsidP="00F060C9"/>
    <w:p w:rsidR="00F060C9" w:rsidRDefault="00F060C9" w:rsidP="00F060C9">
      <w:r>
        <w:t>Dr. Matthew Alkire</w:t>
      </w:r>
      <w:r>
        <w:tab/>
      </w:r>
      <w:r>
        <w:tab/>
      </w:r>
    </w:p>
    <w:p w:rsidR="00F060C9" w:rsidRDefault="00F060C9" w:rsidP="00F060C9">
      <w:hyperlink r:id="rId6" w:history="1">
        <w:r>
          <w:rPr>
            <w:rStyle w:val="Hyperlink"/>
          </w:rPr>
          <w:t>malkire@apl.washington.edu</w:t>
        </w:r>
      </w:hyperlink>
      <w:r>
        <w:tab/>
      </w:r>
      <w:r>
        <w:tab/>
      </w:r>
    </w:p>
    <w:p w:rsidR="00F060C9" w:rsidRDefault="00F060C9" w:rsidP="00F060C9">
      <w:r>
        <w:t>(206) 896-1623</w:t>
      </w:r>
    </w:p>
    <w:p w:rsidR="00F060C9" w:rsidRDefault="00F060C9" w:rsidP="00F060C9">
      <w:r>
        <w:t>Applied Physics Laboratory</w:t>
      </w:r>
    </w:p>
    <w:p w:rsidR="00F060C9" w:rsidRDefault="00F060C9" w:rsidP="00F060C9">
      <w:r>
        <w:t>University of Washington</w:t>
      </w:r>
    </w:p>
    <w:p w:rsidR="00F060C9" w:rsidRDefault="00F060C9" w:rsidP="00F060C9">
      <w:r>
        <w:t>1013 NE 40</w:t>
      </w:r>
      <w:r w:rsidRPr="00C0630E">
        <w:rPr>
          <w:vertAlign w:val="superscript"/>
        </w:rPr>
        <w:t>th</w:t>
      </w:r>
      <w:r>
        <w:t xml:space="preserve"> Street</w:t>
      </w:r>
    </w:p>
    <w:p w:rsidR="00F060C9" w:rsidRDefault="00F060C9" w:rsidP="00F060C9">
      <w:r>
        <w:t>Seattle, WA 98105</w:t>
      </w:r>
    </w:p>
    <w:p w:rsidR="00F060C9" w:rsidRPr="00174931" w:rsidRDefault="00F060C9">
      <w:pPr>
        <w:rPr>
          <w:sz w:val="24"/>
        </w:rPr>
      </w:pPr>
    </w:p>
    <w:sectPr w:rsidR="00F060C9" w:rsidRPr="00174931" w:rsidSect="002C3A2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7060902020509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21F28"/>
    <w:rsid w:val="000B44FA"/>
    <w:rsid w:val="000D0427"/>
    <w:rsid w:val="000E0DD7"/>
    <w:rsid w:val="001132E8"/>
    <w:rsid w:val="00137DE1"/>
    <w:rsid w:val="00174931"/>
    <w:rsid w:val="00235E7B"/>
    <w:rsid w:val="00285429"/>
    <w:rsid w:val="002B2E6F"/>
    <w:rsid w:val="002C3A2B"/>
    <w:rsid w:val="002D1F56"/>
    <w:rsid w:val="00321F28"/>
    <w:rsid w:val="00335B39"/>
    <w:rsid w:val="00366950"/>
    <w:rsid w:val="004A0272"/>
    <w:rsid w:val="004A5AF2"/>
    <w:rsid w:val="005422CF"/>
    <w:rsid w:val="00571CB4"/>
    <w:rsid w:val="005C2A74"/>
    <w:rsid w:val="005D71B9"/>
    <w:rsid w:val="00615D36"/>
    <w:rsid w:val="006B3965"/>
    <w:rsid w:val="006B3CBA"/>
    <w:rsid w:val="0073244D"/>
    <w:rsid w:val="0080753D"/>
    <w:rsid w:val="00844570"/>
    <w:rsid w:val="009427C2"/>
    <w:rsid w:val="009659CD"/>
    <w:rsid w:val="009C76AB"/>
    <w:rsid w:val="00AB284A"/>
    <w:rsid w:val="00C6382F"/>
    <w:rsid w:val="00C716A0"/>
    <w:rsid w:val="00D15AA0"/>
    <w:rsid w:val="00D7738B"/>
    <w:rsid w:val="00F060C9"/>
    <w:rsid w:val="00F9389E"/>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atentStyles>
  <w:style w:type="paragraph" w:default="1" w:styleId="Normal">
    <w:name w:val="Normal"/>
    <w:qFormat/>
    <w:rsid w:val="001A691B"/>
    <w:rPr>
      <w:rFonts w:ascii="Times New Roman" w:hAnsi="Times New Roman"/>
      <w:sz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321F2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rsid w:val="002C3A2B"/>
    <w:rPr>
      <w:color w:val="0000FF"/>
      <w:u w:val="single"/>
    </w:rPr>
  </w:style>
  <w:style w:type="paragraph" w:styleId="Header">
    <w:name w:val="header"/>
    <w:basedOn w:val="Normal"/>
    <w:link w:val="HeaderChar"/>
    <w:rsid w:val="002C3A2B"/>
    <w:pPr>
      <w:tabs>
        <w:tab w:val="center" w:pos="4320"/>
        <w:tab w:val="right" w:pos="8640"/>
      </w:tabs>
    </w:pPr>
  </w:style>
  <w:style w:type="character" w:customStyle="1" w:styleId="HeaderChar">
    <w:name w:val="Header Char"/>
    <w:basedOn w:val="DefaultParagraphFont"/>
    <w:link w:val="Header"/>
    <w:rsid w:val="002C3A2B"/>
    <w:rPr>
      <w:rFonts w:ascii="Times New Roman" w:hAnsi="Times New Roman"/>
      <w:sz w:val="28"/>
    </w:rPr>
  </w:style>
  <w:style w:type="paragraph" w:styleId="Footer">
    <w:name w:val="footer"/>
    <w:basedOn w:val="Normal"/>
    <w:link w:val="FooterChar"/>
    <w:rsid w:val="002C3A2B"/>
    <w:pPr>
      <w:tabs>
        <w:tab w:val="center" w:pos="4320"/>
        <w:tab w:val="right" w:pos="8640"/>
      </w:tabs>
    </w:pPr>
  </w:style>
  <w:style w:type="character" w:customStyle="1" w:styleId="FooterChar">
    <w:name w:val="Footer Char"/>
    <w:basedOn w:val="DefaultParagraphFont"/>
    <w:link w:val="Footer"/>
    <w:rsid w:val="002C3A2B"/>
    <w:rPr>
      <w:rFonts w:ascii="Times New Roman" w:hAnsi="Times New Roman"/>
      <w:sz w:val="28"/>
    </w:rPr>
  </w:style>
  <w:style w:type="paragraph" w:styleId="Caption">
    <w:name w:val="caption"/>
    <w:basedOn w:val="Normal"/>
    <w:next w:val="Normal"/>
    <w:rsid w:val="009427C2"/>
    <w:pPr>
      <w:spacing w:after="200"/>
    </w:pPr>
    <w:rPr>
      <w:b/>
      <w:bCs/>
      <w:color w:val="4F81BD" w:themeColor="accent1"/>
      <w:sz w:val="18"/>
      <w:szCs w:val="18"/>
    </w:rPr>
  </w:style>
  <w:style w:type="paragraph" w:styleId="BalloonText">
    <w:name w:val="Balloon Text"/>
    <w:basedOn w:val="Normal"/>
    <w:link w:val="BalloonTextChar"/>
    <w:rsid w:val="005D71B9"/>
    <w:rPr>
      <w:rFonts w:ascii="Lucida Grande" w:hAnsi="Lucida Grande"/>
      <w:sz w:val="18"/>
      <w:szCs w:val="18"/>
    </w:rPr>
  </w:style>
  <w:style w:type="character" w:customStyle="1" w:styleId="BalloonTextChar">
    <w:name w:val="Balloon Text Char"/>
    <w:basedOn w:val="DefaultParagraphFont"/>
    <w:link w:val="BalloonText"/>
    <w:rsid w:val="005D71B9"/>
    <w:rPr>
      <w:rFonts w:ascii="Lucida Grande" w:hAnsi="Lucida Grande"/>
      <w:sz w:val="18"/>
      <w:szCs w:val="18"/>
    </w:rPr>
  </w:style>
  <w:style w:type="character" w:styleId="FollowedHyperlink">
    <w:name w:val="FollowedHyperlink"/>
    <w:basedOn w:val="DefaultParagraphFont"/>
    <w:rsid w:val="00F060C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618924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yperlink" Target="mailto:kfalkner@coas.oregonstate.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1714</Words>
  <Characters>9770</Characters>
  <Application>Microsoft Macintosh Word</Application>
  <DocSecurity>0</DocSecurity>
  <Lines>81</Lines>
  <Paragraphs>19</Paragraphs>
  <ScaleCrop>false</ScaleCrop>
  <Company>APL-UW</Company>
  <LinksUpToDate>false</LinksUpToDate>
  <CharactersWithSpaces>11998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Alkire</dc:creator>
  <cp:keywords/>
  <cp:lastModifiedBy>Matthew Alkire</cp:lastModifiedBy>
  <cp:revision>2</cp:revision>
  <dcterms:created xsi:type="dcterms:W3CDTF">2014-08-28T16:52:00Z</dcterms:created>
  <dcterms:modified xsi:type="dcterms:W3CDTF">2014-08-28T16:52:00Z</dcterms:modified>
</cp:coreProperties>
</file>