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064" w:rsidRDefault="00120064" w:rsidP="00120064">
      <w:pPr>
        <w:rPr>
          <w:b/>
        </w:rPr>
      </w:pPr>
      <w:r>
        <w:rPr>
          <w:b/>
        </w:rPr>
        <w:t xml:space="preserve">Meta Data for North Pole </w:t>
      </w:r>
      <w:r w:rsidR="00EA6DBB">
        <w:rPr>
          <w:b/>
        </w:rPr>
        <w:t>Environmental Observatory 2014</w:t>
      </w:r>
      <w:r>
        <w:rPr>
          <w:b/>
        </w:rPr>
        <w:t xml:space="preserve"> ISUS Nitrate Survey</w:t>
      </w:r>
    </w:p>
    <w:p w:rsidR="00120064" w:rsidRDefault="00120064" w:rsidP="00120064"/>
    <w:p w:rsidR="008941AD" w:rsidRDefault="00FE0554" w:rsidP="00FE0554">
      <w:pPr>
        <w:rPr>
          <w:color w:val="000000"/>
          <w:u w:val="single"/>
        </w:rPr>
      </w:pPr>
      <w:r>
        <w:tab/>
      </w:r>
      <w:r w:rsidRPr="00827DCE">
        <w:t>Measurements were collected using two Seabird SBE19</w:t>
      </w:r>
      <w:r w:rsidRPr="00827DCE">
        <w:rPr>
          <w:i/>
        </w:rPr>
        <w:t>plus</w:t>
      </w:r>
      <w:r w:rsidRPr="00827DCE">
        <w:t xml:space="preserve"> </w:t>
      </w:r>
      <w:proofErr w:type="spellStart"/>
      <w:r w:rsidRPr="00827DCE">
        <w:t>Seacats</w:t>
      </w:r>
      <w:proofErr w:type="spellEnd"/>
      <w:r w:rsidRPr="00827DCE">
        <w:t xml:space="preserve"> (serial numbers 5076 and 4000), each outfitted with an SBE43 O</w:t>
      </w:r>
      <w:r w:rsidRPr="00827DCE">
        <w:rPr>
          <w:vertAlign w:val="subscript"/>
        </w:rPr>
        <w:t>2</w:t>
      </w:r>
      <w:r w:rsidRPr="00827DCE">
        <w:t>-sensor (serial number</w:t>
      </w:r>
      <w:r>
        <w:t xml:space="preserve">s </w:t>
      </w:r>
      <w:r w:rsidR="001907D7">
        <w:t>1406</w:t>
      </w:r>
      <w:r>
        <w:t xml:space="preserve"> </w:t>
      </w:r>
      <w:r w:rsidR="001907D7">
        <w:t>or 0938</w:t>
      </w:r>
      <w:r>
        <w:t xml:space="preserve">).  </w:t>
      </w:r>
      <w:r w:rsidRPr="00827DCE">
        <w:t>The SBE43 sensors were plumbed in-line between the TC cell and Seabir</w:t>
      </w:r>
      <w:r>
        <w:t>d 2.0K pump of each instrument.  The CTD-O</w:t>
      </w:r>
      <w:r w:rsidRPr="00827DCE">
        <w:rPr>
          <w:vertAlign w:val="subscript"/>
        </w:rPr>
        <w:t>2</w:t>
      </w:r>
      <w:r>
        <w:t xml:space="preserve"> package was hung below an in-situ ultraviolet </w:t>
      </w:r>
      <w:proofErr w:type="spellStart"/>
      <w:r>
        <w:t>spectrophotomer</w:t>
      </w:r>
      <w:proofErr w:type="spellEnd"/>
      <w:r>
        <w:t xml:space="preserve"> (ISUS</w:t>
      </w:r>
      <w:r w:rsidR="00FA04C5">
        <w:t xml:space="preserve"> V3, serial #128</w:t>
      </w:r>
      <w:r>
        <w:t xml:space="preserve">) and battery pack, mounted vertically in a stainless steel frame, using 4-inch, locking </w:t>
      </w:r>
      <w:proofErr w:type="spellStart"/>
      <w:r>
        <w:t>carabine</w:t>
      </w:r>
      <w:r w:rsidR="00323004">
        <w:t>rs</w:t>
      </w:r>
      <w:proofErr w:type="spellEnd"/>
      <w:r>
        <w:t>.  The stations occupied during the 201</w:t>
      </w:r>
      <w:r w:rsidR="00323004">
        <w:t>4</w:t>
      </w:r>
      <w:r>
        <w:t xml:space="preserve"> field season of the North Pole Environmental Observatory </w:t>
      </w:r>
      <w:r w:rsidR="00323004">
        <w:t xml:space="preserve">at which the ISUS was deployed of </w:t>
      </w:r>
      <w:r>
        <w:t xml:space="preserve">are </w:t>
      </w:r>
      <w:r w:rsidRPr="00827DCE">
        <w:t>listed in Table 1.</w:t>
      </w:r>
      <w:r>
        <w:t xml:space="preserve">  </w:t>
      </w:r>
      <w:r w:rsidRPr="00827DCE">
        <w:t>The complete suite of NPEO 201</w:t>
      </w:r>
      <w:r w:rsidR="00323004">
        <w:t>4</w:t>
      </w:r>
      <w:r w:rsidRPr="00827DCE">
        <w:t xml:space="preserve"> </w:t>
      </w:r>
      <w:r w:rsidR="008941AD">
        <w:t>Nitrate</w:t>
      </w:r>
      <w:r w:rsidRPr="00827DCE">
        <w:t xml:space="preserve"> data has been archived separately at CADIS. The files described below can be obtained at:</w:t>
      </w:r>
      <w:r w:rsidR="008941AD">
        <w:rPr>
          <w:color w:val="000000"/>
          <w:u w:val="single"/>
        </w:rPr>
        <w:t xml:space="preserve"> </w:t>
      </w:r>
    </w:p>
    <w:p w:rsidR="008941AD" w:rsidRDefault="008941AD" w:rsidP="00FE0554">
      <w:pPr>
        <w:rPr>
          <w:color w:val="000000"/>
          <w:u w:val="single"/>
        </w:rPr>
      </w:pPr>
    </w:p>
    <w:p w:rsidR="008941AD" w:rsidRDefault="00E275E8" w:rsidP="00FE0554">
      <w:hyperlink r:id="rId4" w:history="1">
        <w:r w:rsidR="00FE0554" w:rsidRPr="00827DCE">
          <w:rPr>
            <w:rStyle w:val="Hyperlink"/>
          </w:rPr>
          <w:t>http://cdp.ucar.edu/browse/browse.htm?uri=http://dataportal.ucar.edu/metadata/cadis/cadis.thredds.xml</w:t>
        </w:r>
      </w:hyperlink>
      <w:r w:rsidR="00FE0554" w:rsidRPr="00827DCE">
        <w:rPr>
          <w:color w:val="000000"/>
        </w:rPr>
        <w:t>.</w:t>
      </w:r>
      <w:r w:rsidR="00FE0554">
        <w:t xml:space="preserve">  </w:t>
      </w:r>
    </w:p>
    <w:p w:rsidR="008941AD" w:rsidRDefault="008941AD" w:rsidP="00FE0554"/>
    <w:p w:rsidR="00A12C3C" w:rsidRDefault="008941AD" w:rsidP="008941AD">
      <w:r>
        <w:t>The CTD-O</w:t>
      </w:r>
      <w:r w:rsidRPr="00E66333">
        <w:rPr>
          <w:vertAlign w:val="subscript"/>
        </w:rPr>
        <w:t>2</w:t>
      </w:r>
      <w:r>
        <w:t xml:space="preserve"> data processing steps are described separately in the README file accompanying those data and will not be repeated here.  These data can also be accessed at CADIS.</w:t>
      </w:r>
    </w:p>
    <w:p w:rsidR="00A12C3C" w:rsidRDefault="00A12C3C" w:rsidP="008941AD"/>
    <w:p w:rsidR="00A12C3C" w:rsidRPr="009C3C50" w:rsidRDefault="00A12C3C" w:rsidP="00A12C3C">
      <w:pPr>
        <w:rPr>
          <w:rFonts w:ascii="Arial" w:hAnsi="Arial"/>
          <w:sz w:val="20"/>
        </w:rPr>
      </w:pPr>
      <w:r w:rsidRPr="009C3C50">
        <w:rPr>
          <w:rFonts w:ascii="Arial" w:hAnsi="Arial"/>
          <w:b/>
          <w:sz w:val="20"/>
        </w:rPr>
        <w:t>Table 1.</w:t>
      </w:r>
      <w:r w:rsidRPr="009C3C50">
        <w:rPr>
          <w:rFonts w:ascii="Arial" w:hAnsi="Arial"/>
          <w:sz w:val="20"/>
        </w:rPr>
        <w:t xml:space="preserve">  Stations occupied during NPEO 2014.  The serial numbers of the CTD instruments and SBE43 oxygen sensors deployed at each station are also listed.  The acronym “Brno” refers to multiple casts completed from the </w:t>
      </w:r>
      <w:proofErr w:type="spellStart"/>
      <w:r w:rsidRPr="009C3C50">
        <w:rPr>
          <w:rFonts w:ascii="Arial" w:hAnsi="Arial"/>
          <w:sz w:val="20"/>
        </w:rPr>
        <w:t>Barneo</w:t>
      </w:r>
      <w:proofErr w:type="spellEnd"/>
      <w:r w:rsidRPr="009C3C50">
        <w:rPr>
          <w:rFonts w:ascii="Arial" w:hAnsi="Arial"/>
          <w:sz w:val="20"/>
        </w:rPr>
        <w:t xml:space="preserve"> Ice Camp base of operations.  </w:t>
      </w:r>
    </w:p>
    <w:tbl>
      <w:tblPr>
        <w:tblW w:w="8949" w:type="dxa"/>
        <w:tblInd w:w="95" w:type="dxa"/>
        <w:tblBorders>
          <w:top w:val="single" w:sz="4" w:space="0" w:color="auto"/>
          <w:left w:val="single" w:sz="4" w:space="0" w:color="auto"/>
          <w:bottom w:val="single" w:sz="4" w:space="0" w:color="auto"/>
          <w:right w:val="single" w:sz="4" w:space="0" w:color="auto"/>
        </w:tblBorders>
        <w:tblLook w:val="0000"/>
      </w:tblPr>
      <w:tblGrid>
        <w:gridCol w:w="786"/>
        <w:gridCol w:w="1108"/>
        <w:gridCol w:w="1949"/>
        <w:gridCol w:w="1367"/>
        <w:gridCol w:w="1552"/>
        <w:gridCol w:w="728"/>
        <w:gridCol w:w="1459"/>
      </w:tblGrid>
      <w:tr w:rsidR="00A12C3C" w:rsidRPr="004A5AF2">
        <w:trPr>
          <w:trHeight w:val="300"/>
        </w:trPr>
        <w:tc>
          <w:tcPr>
            <w:tcW w:w="786" w:type="dxa"/>
            <w:shd w:val="clear" w:color="auto" w:fill="auto"/>
            <w:noWrap/>
            <w:vAlign w:val="bottom"/>
          </w:tcPr>
          <w:p w:rsidR="00A12C3C" w:rsidRPr="00615D36" w:rsidRDefault="00A12C3C" w:rsidP="00323004">
            <w:pPr>
              <w:jc w:val="center"/>
              <w:rPr>
                <w:rFonts w:ascii="Arial" w:hAnsi="Arial"/>
                <w:b/>
                <w:bCs/>
                <w:sz w:val="20"/>
              </w:rPr>
            </w:pPr>
            <w:r w:rsidRPr="00615D36">
              <w:rPr>
                <w:rFonts w:ascii="Arial" w:hAnsi="Arial"/>
                <w:b/>
                <w:bCs/>
                <w:sz w:val="20"/>
              </w:rPr>
              <w:t>Cast</w:t>
            </w:r>
          </w:p>
          <w:p w:rsidR="00A12C3C" w:rsidRPr="00615D36" w:rsidRDefault="00A12C3C" w:rsidP="00323004">
            <w:pPr>
              <w:jc w:val="center"/>
              <w:rPr>
                <w:rFonts w:ascii="Arial" w:hAnsi="Arial"/>
                <w:b/>
                <w:bCs/>
                <w:sz w:val="20"/>
              </w:rPr>
            </w:pPr>
          </w:p>
        </w:tc>
        <w:tc>
          <w:tcPr>
            <w:tcW w:w="1108" w:type="dxa"/>
            <w:shd w:val="clear" w:color="auto" w:fill="auto"/>
            <w:noWrap/>
            <w:vAlign w:val="bottom"/>
          </w:tcPr>
          <w:p w:rsidR="00A12C3C" w:rsidRPr="00615D36" w:rsidRDefault="00A12C3C" w:rsidP="00323004">
            <w:pPr>
              <w:jc w:val="center"/>
              <w:rPr>
                <w:rFonts w:ascii="Arial" w:hAnsi="Arial"/>
                <w:b/>
                <w:bCs/>
                <w:sz w:val="20"/>
              </w:rPr>
            </w:pPr>
            <w:r w:rsidRPr="00615D36">
              <w:rPr>
                <w:rFonts w:ascii="Arial" w:hAnsi="Arial"/>
                <w:b/>
                <w:bCs/>
                <w:sz w:val="20"/>
              </w:rPr>
              <w:t>Date</w:t>
            </w:r>
          </w:p>
          <w:p w:rsidR="00A12C3C" w:rsidRPr="00615D36" w:rsidRDefault="00A12C3C" w:rsidP="00323004">
            <w:pPr>
              <w:jc w:val="center"/>
              <w:rPr>
                <w:rFonts w:ascii="Arial" w:hAnsi="Arial"/>
                <w:b/>
                <w:bCs/>
                <w:sz w:val="20"/>
              </w:rPr>
            </w:pPr>
          </w:p>
        </w:tc>
        <w:tc>
          <w:tcPr>
            <w:tcW w:w="1949" w:type="dxa"/>
            <w:shd w:val="clear" w:color="auto" w:fill="auto"/>
            <w:noWrap/>
            <w:vAlign w:val="bottom"/>
          </w:tcPr>
          <w:p w:rsidR="00A12C3C" w:rsidRPr="00615D36" w:rsidRDefault="00A12C3C" w:rsidP="00323004">
            <w:pPr>
              <w:jc w:val="center"/>
              <w:rPr>
                <w:rFonts w:ascii="Arial" w:hAnsi="Arial"/>
                <w:b/>
                <w:bCs/>
                <w:sz w:val="20"/>
              </w:rPr>
            </w:pPr>
            <w:r w:rsidRPr="00615D36">
              <w:rPr>
                <w:rFonts w:ascii="Arial" w:hAnsi="Arial"/>
                <w:b/>
                <w:bCs/>
                <w:sz w:val="20"/>
              </w:rPr>
              <w:t>Station</w:t>
            </w:r>
          </w:p>
          <w:p w:rsidR="00A12C3C" w:rsidRPr="00615D36" w:rsidRDefault="00A12C3C" w:rsidP="00323004">
            <w:pPr>
              <w:jc w:val="center"/>
              <w:rPr>
                <w:rFonts w:ascii="Arial" w:hAnsi="Arial"/>
                <w:b/>
                <w:bCs/>
                <w:sz w:val="20"/>
              </w:rPr>
            </w:pPr>
          </w:p>
        </w:tc>
        <w:tc>
          <w:tcPr>
            <w:tcW w:w="1367" w:type="dxa"/>
          </w:tcPr>
          <w:p w:rsidR="00A12C3C" w:rsidRDefault="00A12C3C" w:rsidP="00323004">
            <w:pPr>
              <w:jc w:val="center"/>
              <w:rPr>
                <w:rFonts w:ascii="Arial" w:hAnsi="Arial"/>
                <w:b/>
                <w:bCs/>
                <w:sz w:val="20"/>
              </w:rPr>
            </w:pPr>
            <w:r>
              <w:rPr>
                <w:rFonts w:ascii="Arial" w:hAnsi="Arial"/>
                <w:b/>
                <w:bCs/>
                <w:sz w:val="20"/>
              </w:rPr>
              <w:t>N Latitude</w:t>
            </w:r>
          </w:p>
          <w:p w:rsidR="00A12C3C" w:rsidRPr="00615D36" w:rsidRDefault="00A12C3C" w:rsidP="00323004">
            <w:pPr>
              <w:jc w:val="center"/>
              <w:rPr>
                <w:rFonts w:ascii="Arial" w:hAnsi="Arial"/>
                <w:b/>
                <w:bCs/>
                <w:sz w:val="20"/>
              </w:rPr>
            </w:pPr>
            <w:r>
              <w:rPr>
                <w:rFonts w:ascii="Arial" w:hAnsi="Arial"/>
                <w:b/>
                <w:bCs/>
                <w:sz w:val="20"/>
              </w:rPr>
              <w:t>(</w:t>
            </w:r>
            <w:proofErr w:type="spellStart"/>
            <w:proofErr w:type="gramStart"/>
            <w:r>
              <w:rPr>
                <w:rFonts w:ascii="Arial" w:hAnsi="Arial"/>
                <w:b/>
                <w:bCs/>
                <w:sz w:val="20"/>
              </w:rPr>
              <w:t>dec</w:t>
            </w:r>
            <w:proofErr w:type="spellEnd"/>
            <w:proofErr w:type="gramEnd"/>
            <w:r>
              <w:rPr>
                <w:rFonts w:ascii="Arial" w:hAnsi="Arial"/>
                <w:b/>
                <w:bCs/>
                <w:sz w:val="20"/>
              </w:rPr>
              <w:t>. deg.)</w:t>
            </w:r>
          </w:p>
        </w:tc>
        <w:tc>
          <w:tcPr>
            <w:tcW w:w="1552" w:type="dxa"/>
          </w:tcPr>
          <w:p w:rsidR="00A12C3C" w:rsidRDefault="00A12C3C" w:rsidP="00323004">
            <w:pPr>
              <w:jc w:val="center"/>
              <w:rPr>
                <w:rFonts w:ascii="Arial" w:hAnsi="Arial"/>
                <w:b/>
                <w:bCs/>
                <w:sz w:val="20"/>
              </w:rPr>
            </w:pPr>
            <w:r>
              <w:rPr>
                <w:rFonts w:ascii="Arial" w:hAnsi="Arial"/>
                <w:b/>
                <w:bCs/>
                <w:sz w:val="20"/>
              </w:rPr>
              <w:t>E Longitude</w:t>
            </w:r>
          </w:p>
          <w:p w:rsidR="00A12C3C" w:rsidRPr="00615D36" w:rsidRDefault="00A12C3C" w:rsidP="00323004">
            <w:pPr>
              <w:jc w:val="center"/>
              <w:rPr>
                <w:rFonts w:ascii="Arial" w:hAnsi="Arial"/>
                <w:b/>
                <w:bCs/>
                <w:sz w:val="20"/>
              </w:rPr>
            </w:pPr>
            <w:r>
              <w:rPr>
                <w:rFonts w:ascii="Arial" w:hAnsi="Arial"/>
                <w:b/>
                <w:bCs/>
                <w:sz w:val="20"/>
              </w:rPr>
              <w:t>(</w:t>
            </w:r>
            <w:proofErr w:type="spellStart"/>
            <w:proofErr w:type="gramStart"/>
            <w:r>
              <w:rPr>
                <w:rFonts w:ascii="Arial" w:hAnsi="Arial"/>
                <w:b/>
                <w:bCs/>
                <w:sz w:val="20"/>
              </w:rPr>
              <w:t>dec</w:t>
            </w:r>
            <w:proofErr w:type="spellEnd"/>
            <w:proofErr w:type="gramEnd"/>
            <w:r>
              <w:rPr>
                <w:rFonts w:ascii="Arial" w:hAnsi="Arial"/>
                <w:b/>
                <w:bCs/>
                <w:sz w:val="20"/>
              </w:rPr>
              <w:t>. deg.)</w:t>
            </w:r>
          </w:p>
        </w:tc>
        <w:tc>
          <w:tcPr>
            <w:tcW w:w="728" w:type="dxa"/>
            <w:shd w:val="clear" w:color="auto" w:fill="auto"/>
            <w:noWrap/>
            <w:vAlign w:val="bottom"/>
          </w:tcPr>
          <w:p w:rsidR="00A12C3C" w:rsidRPr="00615D36" w:rsidRDefault="00A12C3C" w:rsidP="00323004">
            <w:pPr>
              <w:jc w:val="center"/>
              <w:rPr>
                <w:rFonts w:ascii="Arial" w:hAnsi="Arial"/>
                <w:b/>
                <w:bCs/>
                <w:sz w:val="20"/>
              </w:rPr>
            </w:pPr>
            <w:r w:rsidRPr="00615D36">
              <w:rPr>
                <w:rFonts w:ascii="Arial" w:hAnsi="Arial"/>
                <w:b/>
                <w:bCs/>
                <w:sz w:val="20"/>
              </w:rPr>
              <w:t>CTD</w:t>
            </w:r>
          </w:p>
          <w:p w:rsidR="00A12C3C" w:rsidRPr="00615D36" w:rsidRDefault="00A12C3C" w:rsidP="00323004">
            <w:pPr>
              <w:jc w:val="center"/>
              <w:rPr>
                <w:rFonts w:ascii="Arial" w:hAnsi="Arial"/>
                <w:b/>
                <w:bCs/>
                <w:sz w:val="20"/>
              </w:rPr>
            </w:pPr>
          </w:p>
        </w:tc>
        <w:tc>
          <w:tcPr>
            <w:tcW w:w="1459" w:type="dxa"/>
            <w:shd w:val="clear" w:color="auto" w:fill="auto"/>
            <w:noWrap/>
            <w:vAlign w:val="bottom"/>
          </w:tcPr>
          <w:p w:rsidR="00A12C3C" w:rsidRPr="00615D36" w:rsidRDefault="00A12C3C" w:rsidP="00323004">
            <w:pPr>
              <w:jc w:val="center"/>
              <w:rPr>
                <w:rFonts w:ascii="Arial" w:hAnsi="Arial"/>
                <w:b/>
                <w:bCs/>
                <w:sz w:val="20"/>
              </w:rPr>
            </w:pPr>
            <w:r w:rsidRPr="00615D36">
              <w:rPr>
                <w:rFonts w:ascii="Arial" w:hAnsi="Arial"/>
                <w:b/>
                <w:bCs/>
                <w:sz w:val="20"/>
              </w:rPr>
              <w:t>SBE43</w:t>
            </w:r>
          </w:p>
          <w:p w:rsidR="00A12C3C" w:rsidRPr="00615D36" w:rsidRDefault="00A12C3C" w:rsidP="00323004">
            <w:pPr>
              <w:jc w:val="center"/>
              <w:rPr>
                <w:rFonts w:ascii="Arial" w:hAnsi="Arial"/>
                <w:b/>
                <w:bCs/>
                <w:sz w:val="20"/>
              </w:rPr>
            </w:pPr>
          </w:p>
        </w:tc>
      </w:tr>
      <w:tr w:rsidR="00A12C3C" w:rsidRPr="004A5AF2">
        <w:trPr>
          <w:trHeight w:val="300"/>
        </w:trPr>
        <w:tc>
          <w:tcPr>
            <w:tcW w:w="786"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1</w:t>
            </w:r>
          </w:p>
        </w:tc>
        <w:tc>
          <w:tcPr>
            <w:tcW w:w="1108"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12-Apr-14</w:t>
            </w:r>
          </w:p>
        </w:tc>
        <w:tc>
          <w:tcPr>
            <w:tcW w:w="1949"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89N, 13E (Brno 1)</w:t>
            </w:r>
          </w:p>
        </w:tc>
        <w:tc>
          <w:tcPr>
            <w:tcW w:w="1367" w:type="dxa"/>
            <w:vAlign w:val="bottom"/>
          </w:tcPr>
          <w:p w:rsidR="00A12C3C" w:rsidRPr="00615D36" w:rsidRDefault="00A12C3C" w:rsidP="00323004">
            <w:pPr>
              <w:jc w:val="center"/>
              <w:rPr>
                <w:rFonts w:ascii="Arial" w:hAnsi="Arial"/>
                <w:sz w:val="20"/>
              </w:rPr>
            </w:pPr>
            <w:r>
              <w:rPr>
                <w:rFonts w:ascii="Arial" w:hAnsi="Arial"/>
                <w:sz w:val="20"/>
              </w:rPr>
              <w:t>88.981</w:t>
            </w:r>
          </w:p>
        </w:tc>
        <w:tc>
          <w:tcPr>
            <w:tcW w:w="1552" w:type="dxa"/>
            <w:vAlign w:val="bottom"/>
          </w:tcPr>
          <w:p w:rsidR="00A12C3C" w:rsidRPr="00615D36" w:rsidRDefault="00A12C3C" w:rsidP="00323004">
            <w:pPr>
              <w:jc w:val="center"/>
              <w:rPr>
                <w:rFonts w:ascii="Arial" w:hAnsi="Arial"/>
                <w:sz w:val="20"/>
              </w:rPr>
            </w:pPr>
            <w:r>
              <w:rPr>
                <w:rFonts w:ascii="Arial" w:hAnsi="Arial"/>
                <w:sz w:val="20"/>
              </w:rPr>
              <w:t>13.665</w:t>
            </w:r>
          </w:p>
        </w:tc>
        <w:tc>
          <w:tcPr>
            <w:tcW w:w="728"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5076</w:t>
            </w:r>
          </w:p>
        </w:tc>
        <w:tc>
          <w:tcPr>
            <w:tcW w:w="1459"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1406</w:t>
            </w:r>
          </w:p>
        </w:tc>
      </w:tr>
      <w:tr w:rsidR="00A12C3C" w:rsidRPr="004A5AF2">
        <w:trPr>
          <w:trHeight w:val="300"/>
        </w:trPr>
        <w:tc>
          <w:tcPr>
            <w:tcW w:w="786"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2</w:t>
            </w:r>
          </w:p>
        </w:tc>
        <w:tc>
          <w:tcPr>
            <w:tcW w:w="1108"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15-Apr-14</w:t>
            </w:r>
          </w:p>
        </w:tc>
        <w:tc>
          <w:tcPr>
            <w:tcW w:w="1949"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87N, 180</w:t>
            </w:r>
          </w:p>
        </w:tc>
        <w:tc>
          <w:tcPr>
            <w:tcW w:w="1367" w:type="dxa"/>
            <w:vAlign w:val="bottom"/>
          </w:tcPr>
          <w:p w:rsidR="00A12C3C" w:rsidRPr="00615D36" w:rsidRDefault="00A12C3C" w:rsidP="00323004">
            <w:pPr>
              <w:jc w:val="center"/>
              <w:rPr>
                <w:rFonts w:ascii="Arial" w:hAnsi="Arial"/>
                <w:sz w:val="20"/>
              </w:rPr>
            </w:pPr>
            <w:r>
              <w:rPr>
                <w:rFonts w:ascii="Arial" w:hAnsi="Arial"/>
                <w:sz w:val="20"/>
              </w:rPr>
              <w:t>86.998</w:t>
            </w:r>
          </w:p>
        </w:tc>
        <w:tc>
          <w:tcPr>
            <w:tcW w:w="1552" w:type="dxa"/>
            <w:vAlign w:val="bottom"/>
          </w:tcPr>
          <w:p w:rsidR="00A12C3C" w:rsidRPr="00615D36" w:rsidRDefault="00A12C3C" w:rsidP="00323004">
            <w:pPr>
              <w:jc w:val="center"/>
              <w:rPr>
                <w:rFonts w:ascii="Arial" w:hAnsi="Arial"/>
                <w:sz w:val="20"/>
              </w:rPr>
            </w:pPr>
            <w:r>
              <w:rPr>
                <w:rFonts w:ascii="Arial" w:hAnsi="Arial"/>
                <w:sz w:val="20"/>
              </w:rPr>
              <w:t>179.646</w:t>
            </w:r>
          </w:p>
        </w:tc>
        <w:tc>
          <w:tcPr>
            <w:tcW w:w="728"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5076</w:t>
            </w:r>
          </w:p>
        </w:tc>
        <w:tc>
          <w:tcPr>
            <w:tcW w:w="1459"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1406</w:t>
            </w:r>
          </w:p>
        </w:tc>
      </w:tr>
      <w:tr w:rsidR="00A12C3C" w:rsidRPr="004A5AF2">
        <w:trPr>
          <w:trHeight w:val="300"/>
        </w:trPr>
        <w:tc>
          <w:tcPr>
            <w:tcW w:w="786"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3</w:t>
            </w:r>
          </w:p>
        </w:tc>
        <w:tc>
          <w:tcPr>
            <w:tcW w:w="1108"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16-Apr-14</w:t>
            </w:r>
          </w:p>
        </w:tc>
        <w:tc>
          <w:tcPr>
            <w:tcW w:w="1949"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87N, 90E</w:t>
            </w:r>
          </w:p>
        </w:tc>
        <w:tc>
          <w:tcPr>
            <w:tcW w:w="1367" w:type="dxa"/>
            <w:vAlign w:val="bottom"/>
          </w:tcPr>
          <w:p w:rsidR="00A12C3C" w:rsidRPr="00615D36" w:rsidRDefault="00A12C3C" w:rsidP="00323004">
            <w:pPr>
              <w:jc w:val="center"/>
              <w:rPr>
                <w:rFonts w:ascii="Arial" w:hAnsi="Arial"/>
                <w:sz w:val="20"/>
              </w:rPr>
            </w:pPr>
            <w:r>
              <w:rPr>
                <w:rFonts w:ascii="Arial" w:hAnsi="Arial"/>
                <w:sz w:val="20"/>
              </w:rPr>
              <w:t>87.017</w:t>
            </w:r>
          </w:p>
        </w:tc>
        <w:tc>
          <w:tcPr>
            <w:tcW w:w="1552" w:type="dxa"/>
            <w:vAlign w:val="bottom"/>
          </w:tcPr>
          <w:p w:rsidR="00A12C3C" w:rsidRPr="00615D36" w:rsidRDefault="00A12C3C" w:rsidP="00323004">
            <w:pPr>
              <w:jc w:val="center"/>
              <w:rPr>
                <w:rFonts w:ascii="Arial" w:hAnsi="Arial"/>
                <w:sz w:val="20"/>
              </w:rPr>
            </w:pPr>
            <w:r>
              <w:rPr>
                <w:rFonts w:ascii="Arial" w:hAnsi="Arial"/>
                <w:sz w:val="20"/>
              </w:rPr>
              <w:t>90.583</w:t>
            </w:r>
          </w:p>
        </w:tc>
        <w:tc>
          <w:tcPr>
            <w:tcW w:w="728"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5076</w:t>
            </w:r>
          </w:p>
        </w:tc>
        <w:tc>
          <w:tcPr>
            <w:tcW w:w="1459"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1406</w:t>
            </w:r>
          </w:p>
        </w:tc>
      </w:tr>
      <w:tr w:rsidR="00A12C3C" w:rsidRPr="004A5AF2">
        <w:trPr>
          <w:trHeight w:val="300"/>
        </w:trPr>
        <w:tc>
          <w:tcPr>
            <w:tcW w:w="786"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4</w:t>
            </w:r>
          </w:p>
        </w:tc>
        <w:tc>
          <w:tcPr>
            <w:tcW w:w="1108"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16-Apr-14</w:t>
            </w:r>
          </w:p>
        </w:tc>
        <w:tc>
          <w:tcPr>
            <w:tcW w:w="1949"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89N, 16E (Brno 2)</w:t>
            </w:r>
          </w:p>
        </w:tc>
        <w:tc>
          <w:tcPr>
            <w:tcW w:w="1367" w:type="dxa"/>
            <w:vAlign w:val="bottom"/>
          </w:tcPr>
          <w:p w:rsidR="00A12C3C" w:rsidRPr="00615D36" w:rsidRDefault="00A12C3C" w:rsidP="00323004">
            <w:pPr>
              <w:jc w:val="center"/>
              <w:rPr>
                <w:rFonts w:ascii="Arial" w:hAnsi="Arial"/>
                <w:sz w:val="20"/>
              </w:rPr>
            </w:pPr>
            <w:r>
              <w:rPr>
                <w:rFonts w:ascii="Arial" w:hAnsi="Arial"/>
                <w:sz w:val="20"/>
              </w:rPr>
              <w:t>88.621</w:t>
            </w:r>
          </w:p>
        </w:tc>
        <w:tc>
          <w:tcPr>
            <w:tcW w:w="1552" w:type="dxa"/>
            <w:vAlign w:val="bottom"/>
          </w:tcPr>
          <w:p w:rsidR="00A12C3C" w:rsidRPr="00615D36" w:rsidRDefault="00A12C3C" w:rsidP="00323004">
            <w:pPr>
              <w:jc w:val="center"/>
              <w:rPr>
                <w:rFonts w:ascii="Arial" w:hAnsi="Arial"/>
                <w:sz w:val="20"/>
              </w:rPr>
            </w:pPr>
            <w:r>
              <w:rPr>
                <w:rFonts w:ascii="Arial" w:hAnsi="Arial"/>
                <w:sz w:val="20"/>
              </w:rPr>
              <w:t>16.177</w:t>
            </w:r>
          </w:p>
        </w:tc>
        <w:tc>
          <w:tcPr>
            <w:tcW w:w="728"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5076</w:t>
            </w:r>
          </w:p>
        </w:tc>
        <w:tc>
          <w:tcPr>
            <w:tcW w:w="1459"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1406</w:t>
            </w:r>
          </w:p>
        </w:tc>
      </w:tr>
      <w:tr w:rsidR="00A12C3C" w:rsidRPr="004A5AF2">
        <w:trPr>
          <w:trHeight w:val="300"/>
        </w:trPr>
        <w:tc>
          <w:tcPr>
            <w:tcW w:w="786"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5</w:t>
            </w:r>
          </w:p>
        </w:tc>
        <w:tc>
          <w:tcPr>
            <w:tcW w:w="1108"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17-Apr-14</w:t>
            </w:r>
          </w:p>
        </w:tc>
        <w:tc>
          <w:tcPr>
            <w:tcW w:w="1949"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85N, 90E</w:t>
            </w:r>
          </w:p>
        </w:tc>
        <w:tc>
          <w:tcPr>
            <w:tcW w:w="1367" w:type="dxa"/>
            <w:vAlign w:val="bottom"/>
          </w:tcPr>
          <w:p w:rsidR="00A12C3C" w:rsidRPr="00615D36" w:rsidRDefault="00A12C3C" w:rsidP="00323004">
            <w:pPr>
              <w:jc w:val="center"/>
              <w:rPr>
                <w:rFonts w:ascii="Arial" w:hAnsi="Arial"/>
                <w:sz w:val="20"/>
              </w:rPr>
            </w:pPr>
            <w:r>
              <w:rPr>
                <w:rFonts w:ascii="Arial" w:hAnsi="Arial"/>
                <w:sz w:val="20"/>
              </w:rPr>
              <w:t>85.005</w:t>
            </w:r>
          </w:p>
        </w:tc>
        <w:tc>
          <w:tcPr>
            <w:tcW w:w="1552" w:type="dxa"/>
            <w:vAlign w:val="bottom"/>
          </w:tcPr>
          <w:p w:rsidR="00A12C3C" w:rsidRPr="00615D36" w:rsidRDefault="00A12C3C" w:rsidP="00323004">
            <w:pPr>
              <w:jc w:val="center"/>
              <w:rPr>
                <w:rFonts w:ascii="Arial" w:hAnsi="Arial"/>
                <w:sz w:val="20"/>
              </w:rPr>
            </w:pPr>
            <w:r>
              <w:rPr>
                <w:rFonts w:ascii="Arial" w:hAnsi="Arial"/>
                <w:sz w:val="20"/>
              </w:rPr>
              <w:t>90.189</w:t>
            </w:r>
          </w:p>
        </w:tc>
        <w:tc>
          <w:tcPr>
            <w:tcW w:w="728"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5076</w:t>
            </w:r>
          </w:p>
        </w:tc>
        <w:tc>
          <w:tcPr>
            <w:tcW w:w="1459" w:type="dxa"/>
            <w:shd w:val="clear" w:color="auto" w:fill="auto"/>
            <w:noWrap/>
            <w:vAlign w:val="bottom"/>
          </w:tcPr>
          <w:p w:rsidR="00A12C3C" w:rsidRPr="00615D36" w:rsidRDefault="00A12C3C" w:rsidP="00323004">
            <w:pPr>
              <w:jc w:val="center"/>
              <w:rPr>
                <w:rFonts w:ascii="Arial" w:hAnsi="Arial"/>
                <w:sz w:val="20"/>
              </w:rPr>
            </w:pPr>
            <w:r>
              <w:rPr>
                <w:rFonts w:ascii="Arial" w:hAnsi="Arial"/>
                <w:sz w:val="20"/>
              </w:rPr>
              <w:t>0</w:t>
            </w:r>
            <w:r w:rsidRPr="00615D36">
              <w:rPr>
                <w:rFonts w:ascii="Arial" w:hAnsi="Arial"/>
                <w:sz w:val="20"/>
              </w:rPr>
              <w:t>938</w:t>
            </w:r>
          </w:p>
        </w:tc>
      </w:tr>
      <w:tr w:rsidR="00A12C3C" w:rsidRPr="004A5AF2">
        <w:trPr>
          <w:trHeight w:val="300"/>
        </w:trPr>
        <w:tc>
          <w:tcPr>
            <w:tcW w:w="786"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6</w:t>
            </w:r>
          </w:p>
        </w:tc>
        <w:tc>
          <w:tcPr>
            <w:tcW w:w="1108"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17-Apr-14</w:t>
            </w:r>
          </w:p>
        </w:tc>
        <w:tc>
          <w:tcPr>
            <w:tcW w:w="1949"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86N, 90E</w:t>
            </w:r>
          </w:p>
        </w:tc>
        <w:tc>
          <w:tcPr>
            <w:tcW w:w="1367" w:type="dxa"/>
            <w:vAlign w:val="bottom"/>
          </w:tcPr>
          <w:p w:rsidR="00A12C3C" w:rsidRPr="00615D36" w:rsidRDefault="00A12C3C" w:rsidP="00323004">
            <w:pPr>
              <w:jc w:val="center"/>
              <w:rPr>
                <w:rFonts w:ascii="Arial" w:hAnsi="Arial"/>
                <w:sz w:val="20"/>
              </w:rPr>
            </w:pPr>
            <w:r>
              <w:rPr>
                <w:rFonts w:ascii="Arial" w:hAnsi="Arial"/>
                <w:sz w:val="20"/>
              </w:rPr>
              <w:t>85.943</w:t>
            </w:r>
          </w:p>
        </w:tc>
        <w:tc>
          <w:tcPr>
            <w:tcW w:w="1552" w:type="dxa"/>
            <w:vAlign w:val="bottom"/>
          </w:tcPr>
          <w:p w:rsidR="00A12C3C" w:rsidRPr="00615D36" w:rsidRDefault="00A12C3C" w:rsidP="00323004">
            <w:pPr>
              <w:jc w:val="center"/>
              <w:rPr>
                <w:rFonts w:ascii="Arial" w:hAnsi="Arial"/>
                <w:sz w:val="20"/>
              </w:rPr>
            </w:pPr>
            <w:r>
              <w:rPr>
                <w:rFonts w:ascii="Arial" w:hAnsi="Arial"/>
                <w:sz w:val="20"/>
              </w:rPr>
              <w:t>89.898</w:t>
            </w:r>
          </w:p>
        </w:tc>
        <w:tc>
          <w:tcPr>
            <w:tcW w:w="728"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5076</w:t>
            </w:r>
          </w:p>
        </w:tc>
        <w:tc>
          <w:tcPr>
            <w:tcW w:w="1459" w:type="dxa"/>
            <w:shd w:val="clear" w:color="auto" w:fill="auto"/>
            <w:noWrap/>
            <w:vAlign w:val="bottom"/>
          </w:tcPr>
          <w:p w:rsidR="00A12C3C" w:rsidRPr="00615D36" w:rsidRDefault="00A12C3C" w:rsidP="00323004">
            <w:pPr>
              <w:jc w:val="center"/>
              <w:rPr>
                <w:rFonts w:ascii="Arial" w:hAnsi="Arial"/>
                <w:sz w:val="20"/>
              </w:rPr>
            </w:pPr>
            <w:r>
              <w:rPr>
                <w:rFonts w:ascii="Arial" w:hAnsi="Arial"/>
                <w:sz w:val="20"/>
              </w:rPr>
              <w:t>0</w:t>
            </w:r>
            <w:r w:rsidRPr="00615D36">
              <w:rPr>
                <w:rFonts w:ascii="Arial" w:hAnsi="Arial"/>
                <w:sz w:val="20"/>
              </w:rPr>
              <w:t>938</w:t>
            </w:r>
          </w:p>
        </w:tc>
      </w:tr>
      <w:tr w:rsidR="00A12C3C" w:rsidRPr="004A5AF2">
        <w:trPr>
          <w:trHeight w:val="300"/>
        </w:trPr>
        <w:tc>
          <w:tcPr>
            <w:tcW w:w="786"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7</w:t>
            </w:r>
          </w:p>
        </w:tc>
        <w:tc>
          <w:tcPr>
            <w:tcW w:w="1108"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18-Apr-14</w:t>
            </w:r>
          </w:p>
        </w:tc>
        <w:tc>
          <w:tcPr>
            <w:tcW w:w="1949"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90N</w:t>
            </w:r>
          </w:p>
        </w:tc>
        <w:tc>
          <w:tcPr>
            <w:tcW w:w="1367" w:type="dxa"/>
            <w:vAlign w:val="bottom"/>
          </w:tcPr>
          <w:p w:rsidR="00A12C3C" w:rsidRPr="00615D36" w:rsidRDefault="00A12C3C" w:rsidP="00323004">
            <w:pPr>
              <w:jc w:val="center"/>
              <w:rPr>
                <w:rFonts w:ascii="Arial" w:hAnsi="Arial"/>
                <w:sz w:val="20"/>
              </w:rPr>
            </w:pPr>
            <w:r>
              <w:rPr>
                <w:rFonts w:ascii="Arial" w:hAnsi="Arial"/>
                <w:sz w:val="20"/>
              </w:rPr>
              <w:t>89.985</w:t>
            </w:r>
          </w:p>
        </w:tc>
        <w:tc>
          <w:tcPr>
            <w:tcW w:w="1552" w:type="dxa"/>
            <w:vAlign w:val="bottom"/>
          </w:tcPr>
          <w:p w:rsidR="00A12C3C" w:rsidRPr="00615D36" w:rsidRDefault="00A12C3C" w:rsidP="00323004">
            <w:pPr>
              <w:jc w:val="center"/>
              <w:rPr>
                <w:rFonts w:ascii="Arial" w:hAnsi="Arial"/>
                <w:sz w:val="20"/>
              </w:rPr>
            </w:pPr>
            <w:r>
              <w:rPr>
                <w:rFonts w:ascii="Arial" w:hAnsi="Arial"/>
                <w:sz w:val="20"/>
              </w:rPr>
              <w:t>-1.483</w:t>
            </w:r>
          </w:p>
        </w:tc>
        <w:tc>
          <w:tcPr>
            <w:tcW w:w="728" w:type="dxa"/>
            <w:shd w:val="clear" w:color="auto" w:fill="auto"/>
            <w:noWrap/>
            <w:vAlign w:val="bottom"/>
          </w:tcPr>
          <w:p w:rsidR="00A12C3C" w:rsidRPr="00615D36" w:rsidRDefault="00A12C3C" w:rsidP="00323004">
            <w:pPr>
              <w:jc w:val="center"/>
              <w:rPr>
                <w:rFonts w:ascii="Arial" w:hAnsi="Arial"/>
                <w:sz w:val="20"/>
              </w:rPr>
            </w:pPr>
            <w:r w:rsidRPr="00615D36">
              <w:rPr>
                <w:rFonts w:ascii="Arial" w:hAnsi="Arial"/>
                <w:sz w:val="20"/>
              </w:rPr>
              <w:t>5076</w:t>
            </w:r>
          </w:p>
        </w:tc>
        <w:tc>
          <w:tcPr>
            <w:tcW w:w="1459" w:type="dxa"/>
            <w:shd w:val="clear" w:color="auto" w:fill="auto"/>
            <w:noWrap/>
            <w:vAlign w:val="bottom"/>
          </w:tcPr>
          <w:p w:rsidR="00A12C3C" w:rsidRPr="00285429" w:rsidRDefault="00A12C3C" w:rsidP="00323004">
            <w:pPr>
              <w:jc w:val="center"/>
              <w:rPr>
                <w:rFonts w:ascii="Arial" w:hAnsi="Arial"/>
                <w:sz w:val="20"/>
              </w:rPr>
            </w:pPr>
            <w:r w:rsidRPr="00285429">
              <w:rPr>
                <w:rFonts w:ascii="Arial" w:hAnsi="Arial"/>
                <w:sz w:val="20"/>
              </w:rPr>
              <w:t>0938</w:t>
            </w:r>
          </w:p>
        </w:tc>
      </w:tr>
    </w:tbl>
    <w:p w:rsidR="008941AD" w:rsidRDefault="00FE0554" w:rsidP="00FE0554">
      <w:r>
        <w:tab/>
      </w:r>
    </w:p>
    <w:p w:rsidR="00323004" w:rsidRDefault="008941AD" w:rsidP="00FE0554">
      <w:r>
        <w:tab/>
      </w:r>
      <w:r w:rsidR="00FE0554" w:rsidRPr="00827DCE">
        <w:t>Cast</w:t>
      </w:r>
      <w:r w:rsidR="00FE0554">
        <w:t>s were begun by lowering the instrument package to a depth of ~15 meters to allow</w:t>
      </w:r>
      <w:r w:rsidR="00FE0554" w:rsidRPr="00827DCE">
        <w:t xml:space="preserve"> the instruments</w:t>
      </w:r>
      <w:r w:rsidR="00FE0554">
        <w:t xml:space="preserve"> to come to ambient temperature while attempting to prevent any slush ice being pumped into the system.  The package was then brought back up to the near surface and six </w:t>
      </w:r>
      <w:proofErr w:type="spellStart"/>
      <w:r w:rsidR="00FE0554">
        <w:t>Niskin</w:t>
      </w:r>
      <w:proofErr w:type="spellEnd"/>
      <w:r w:rsidR="00FE0554">
        <w:t xml:space="preserve"> bottles were attached to the </w:t>
      </w:r>
      <w:proofErr w:type="spellStart"/>
      <w:r w:rsidR="00FE0554">
        <w:t>hydrowire</w:t>
      </w:r>
      <w:proofErr w:type="spellEnd"/>
      <w:r w:rsidR="00FE0554">
        <w:t xml:space="preserve"> at successive intervals in order to sample the seawater at different target depths (20, 50, 75, 100, 150, and 30</w:t>
      </w:r>
      <w:r w:rsidR="00323004">
        <w:t xml:space="preserve">0 m).  Once the </w:t>
      </w:r>
      <w:proofErr w:type="spellStart"/>
      <w:r w:rsidR="00323004">
        <w:t>Niskin</w:t>
      </w:r>
      <w:proofErr w:type="spellEnd"/>
      <w:r w:rsidR="00323004">
        <w:t xml:space="preserve"> bottles we</w:t>
      </w:r>
      <w:r w:rsidR="00FE0554">
        <w:t>re in posi</w:t>
      </w:r>
      <w:r w:rsidR="00323004">
        <w:t>tion, a soak time of 5 minutes wa</w:t>
      </w:r>
      <w:r w:rsidR="00FE0554">
        <w:t xml:space="preserve">s allowed before tripping the bottles via messenger.  The bottles </w:t>
      </w:r>
      <w:r w:rsidR="00323004">
        <w:t>we</w:t>
      </w:r>
      <w:r w:rsidR="00FE0554">
        <w:t>re brought back up to the surface and sub-sampled for a variety of chemical variables.  This portion of the cast is referr</w:t>
      </w:r>
      <w:r w:rsidR="00323004">
        <w:t xml:space="preserve">ed to as the “bottle cast”.  Once the last </w:t>
      </w:r>
      <w:proofErr w:type="spellStart"/>
      <w:r w:rsidR="00323004">
        <w:t>Niskin</w:t>
      </w:r>
      <w:proofErr w:type="spellEnd"/>
      <w:r w:rsidR="00323004">
        <w:t xml:space="preserve"> bottle wa</w:t>
      </w:r>
      <w:r w:rsidR="00FE0554">
        <w:t xml:space="preserve">s removed from the </w:t>
      </w:r>
      <w:proofErr w:type="spellStart"/>
      <w:r w:rsidR="00FE0554">
        <w:t>hydrowire</w:t>
      </w:r>
      <w:proofErr w:type="spellEnd"/>
      <w:r w:rsidR="00FE0554">
        <w:t xml:space="preserve"> th</w:t>
      </w:r>
      <w:r w:rsidR="00323004">
        <w:t>e winch wa</w:t>
      </w:r>
      <w:r w:rsidR="00FE0554">
        <w:t>s re-zeroe</w:t>
      </w:r>
      <w:r w:rsidR="00323004">
        <w:t>d while the instrument package wa</w:t>
      </w:r>
      <w:r w:rsidR="00FE0554">
        <w:t xml:space="preserve">s </w:t>
      </w:r>
      <w:r w:rsidR="00323004">
        <w:t>near the surface.  The package wa</w:t>
      </w:r>
      <w:r w:rsidR="00FE0554">
        <w:t>s then lowered through the water column.  This portion of the data record is referred to as the “down</w:t>
      </w:r>
      <w:r w:rsidR="00323004">
        <w:t>cast”.  Once the package reached 800-900 m, the winch wa</w:t>
      </w:r>
      <w:r w:rsidR="00FE0554">
        <w:t>s stopped and t</w:t>
      </w:r>
      <w:r w:rsidR="00323004">
        <w:t>he package</w:t>
      </w:r>
      <w:r w:rsidR="00FE0554">
        <w:t xml:space="preserve"> brought back up to the surface.  This portion of the cast is referred to as the “</w:t>
      </w:r>
      <w:proofErr w:type="spellStart"/>
      <w:r w:rsidR="00FE0554">
        <w:t>upcast</w:t>
      </w:r>
      <w:proofErr w:type="spellEnd"/>
      <w:r w:rsidR="00FE0554">
        <w:t>”.</w:t>
      </w:r>
      <w:r w:rsidR="00323004">
        <w:t xml:space="preserve">  This order of operations was found to be optimal for ISUS measurement as it allowed sufficient time for the instrument to warm up and equilibrate with its environment.  </w:t>
      </w:r>
      <w:r w:rsidR="00FE0554">
        <w:t xml:space="preserve">  </w:t>
      </w:r>
    </w:p>
    <w:p w:rsidR="00323004" w:rsidRDefault="00323004" w:rsidP="00FE0554"/>
    <w:p w:rsidR="00323004" w:rsidRDefault="00323004" w:rsidP="00FE0554">
      <w:r>
        <w:t>The bottle</w:t>
      </w:r>
      <w:r w:rsidR="00651FD7">
        <w:t xml:space="preserve"> cast, </w:t>
      </w:r>
      <w:proofErr w:type="spellStart"/>
      <w:r w:rsidR="00651FD7">
        <w:t>upcast</w:t>
      </w:r>
      <w:proofErr w:type="spellEnd"/>
      <w:r w:rsidR="00651FD7">
        <w:t>, and initial measurements corresponding</w:t>
      </w:r>
      <w:r w:rsidR="00FE0554" w:rsidRPr="00827DCE">
        <w:t xml:space="preserve"> </w:t>
      </w:r>
      <w:r w:rsidR="00651FD7">
        <w:t>to the period</w:t>
      </w:r>
      <w:r w:rsidR="00FE0554" w:rsidRPr="00827DCE">
        <w:t xml:space="preserve"> during which the CTD was lowered, equilibrated, and raised to the surface have been truncated from the final data files.  The final data</w:t>
      </w:r>
      <w:r w:rsidR="00651FD7">
        <w:t xml:space="preserve"> set reported for each station therefore</w:t>
      </w:r>
      <w:r w:rsidR="00FE0554" w:rsidRPr="00827DCE">
        <w:t xml:space="preserve"> consists of </w:t>
      </w:r>
      <w:r w:rsidR="00651FD7">
        <w:t>measurements collected during the downcasts only</w:t>
      </w:r>
      <w:r w:rsidR="00FE0554" w:rsidRPr="00827DCE">
        <w:t>.</w:t>
      </w:r>
      <w:r w:rsidR="00651FD7">
        <w:t xml:space="preserve">  However, oxygen concentrations included in the data files for Casts 2-6 also include measurements collected during the </w:t>
      </w:r>
      <w:proofErr w:type="spellStart"/>
      <w:r w:rsidR="00651FD7">
        <w:t>upcast</w:t>
      </w:r>
      <w:proofErr w:type="spellEnd"/>
      <w:r w:rsidR="00FE0554" w:rsidRPr="00827DCE">
        <w:t xml:space="preserve"> </w:t>
      </w:r>
      <w:r w:rsidR="00651FD7">
        <w:t>due to issues with the O</w:t>
      </w:r>
      <w:r w:rsidR="00651FD7" w:rsidRPr="00651FD7">
        <w:rPr>
          <w:vertAlign w:val="subscript"/>
        </w:rPr>
        <w:t xml:space="preserve">2 </w:t>
      </w:r>
      <w:r w:rsidR="00651FD7">
        <w:t>sensor equilibration (further details are provided in the README file accompanying the CTD-O</w:t>
      </w:r>
      <w:r w:rsidR="00651FD7" w:rsidRPr="00651FD7">
        <w:rPr>
          <w:vertAlign w:val="subscript"/>
        </w:rPr>
        <w:t>2</w:t>
      </w:r>
      <w:r w:rsidR="00651FD7">
        <w:t xml:space="preserve"> data). </w:t>
      </w:r>
    </w:p>
    <w:p w:rsidR="00120064" w:rsidRDefault="00120064" w:rsidP="00120064"/>
    <w:p w:rsidR="00A12C3C" w:rsidRDefault="008941AD" w:rsidP="00237470">
      <w:r>
        <w:tab/>
      </w:r>
      <w:r w:rsidR="00120064">
        <w:t>Details regarding ISUS data processing have been previously repor</w:t>
      </w:r>
      <w:r w:rsidR="0034588D">
        <w:t xml:space="preserve">ted in </w:t>
      </w:r>
      <w:r w:rsidR="0034588D" w:rsidRPr="0034588D">
        <w:rPr>
          <w:i/>
        </w:rPr>
        <w:t>Alkire et al.</w:t>
      </w:r>
      <w:r w:rsidR="0034588D">
        <w:t xml:space="preserve"> [2010]</w:t>
      </w:r>
      <w:r w:rsidR="00120064">
        <w:t>.  Here the data processing steps are briefly described.  Since the ISUS does not record pressure or external temperature, the separate ISUS and CTD casts were mer</w:t>
      </w:r>
      <w:r w:rsidR="008F33D1">
        <w:t>ged after collection using the</w:t>
      </w:r>
      <w:r w:rsidR="00120064">
        <w:t xml:space="preserve"> respective internal timestamps of t</w:t>
      </w:r>
      <w:r w:rsidR="0034588D">
        <w:t xml:space="preserve">heir first data record.  </w:t>
      </w:r>
      <w:r w:rsidR="00237470">
        <w:t>Following synchronization, the resulting data files were then processed using a program (</w:t>
      </w:r>
      <w:proofErr w:type="spellStart"/>
      <w:r w:rsidR="00237470">
        <w:t>ISUSDataProcessor</w:t>
      </w:r>
      <w:proofErr w:type="spellEnd"/>
      <w:r w:rsidR="00237470">
        <w:t xml:space="preserve">) developed by Ken Johnson (MBARI), which incorporates salinity and temperature data from the CTD and applies algorithms that correct the spectral data collected by the ISUS for temperature effects on the bromide absorption </w:t>
      </w:r>
      <w:r w:rsidR="00E814B9">
        <w:t>[</w:t>
      </w:r>
      <w:r w:rsidR="00237470" w:rsidRPr="00E814B9">
        <w:rPr>
          <w:i/>
        </w:rPr>
        <w:t>Sakamoto et al</w:t>
      </w:r>
      <w:r w:rsidR="00237470">
        <w:t>., 2009</w:t>
      </w:r>
      <w:r w:rsidR="00E814B9">
        <w:t>]</w:t>
      </w:r>
      <w:r w:rsidR="00237470">
        <w:t>.  Each nitrate concentration calculated has an associated fit-error (RMS deviation of observed nitrate absorbance from modeled values).  Any concentrations with fit-errors exceeding 0.00</w:t>
      </w:r>
      <w:r w:rsidR="008E53AE">
        <w:t>3</w:t>
      </w:r>
      <w:r w:rsidR="00237470">
        <w:t xml:space="preserve"> were omitted from the final data files to accommodate known instrumental noise (Ken Johnson, personal communication).</w:t>
      </w:r>
      <w:r w:rsidR="008E53AE">
        <w:t xml:space="preserve">  The value of 0.003 used as the criterion for determining the quality of the fit was somewhat higher than that u</w:t>
      </w:r>
      <w:r w:rsidR="004715C8">
        <w:t xml:space="preserve">sed (0.002) in previous years.  Fit errors </w:t>
      </w:r>
      <w:r w:rsidR="009675C5">
        <w:t>of 0.002-</w:t>
      </w:r>
      <w:r w:rsidR="004715C8">
        <w:t xml:space="preserve">0.003 were most frequently associated with nitrate concentrations measured within the top 50-100 m of the water column and omission of all data associated with fit errors </w:t>
      </w:r>
      <w:r w:rsidR="004715C8" w:rsidRPr="009675C5">
        <w:rPr>
          <w:u w:val="single"/>
        </w:rPr>
        <w:t>&gt;</w:t>
      </w:r>
      <w:r w:rsidR="004715C8">
        <w:t xml:space="preserve"> 0.002 resulted in truncated profiles with the top 0-100 m missing.  </w:t>
      </w:r>
      <w:r w:rsidR="003F015D">
        <w:t xml:space="preserve">We have therefore chosen to accept a lower quality of fit to extend the nitrate profiles over the full depth of the water column rather than omit the top </w:t>
      </w:r>
      <w:r w:rsidR="009675C5">
        <w:t>~</w:t>
      </w:r>
      <w:r w:rsidR="003F015D">
        <w:t>100</w:t>
      </w:r>
      <w:r w:rsidR="009675C5">
        <w:t xml:space="preserve"> </w:t>
      </w:r>
      <w:r w:rsidR="003F015D">
        <w:t>m.</w:t>
      </w:r>
      <w:r w:rsidR="009675C5">
        <w:t xml:space="preserve">  </w:t>
      </w:r>
      <w:r w:rsidR="00E0193F">
        <w:t>We have no sure explanation for the higher fit errors encountered during the 2014 deployment but speculate that the use of a borrowed instrument (V3</w:t>
      </w:r>
      <w:r w:rsidR="00A12C3C">
        <w:t>,</w:t>
      </w:r>
      <w:r w:rsidR="00E0193F">
        <w:t xml:space="preserve"> serial #128) rather than the V2 ISUS (seria</w:t>
      </w:r>
      <w:r w:rsidR="00A12C3C">
        <w:t xml:space="preserve">l #127) we have deployed in </w:t>
      </w:r>
      <w:r w:rsidR="00E0193F">
        <w:t xml:space="preserve">previous years (not used in 2014 due to malfunctions) </w:t>
      </w:r>
      <w:r w:rsidR="00A12C3C">
        <w:t>was likely the root cause.  Differences in the quality of the instrument and/or cleanliness of the optics may have resulted in an error in the calibration of the sensor response, resulting in slightly worse fits than previously encountered with our V2 ISUS.</w:t>
      </w:r>
      <w:r w:rsidR="00237470">
        <w:t xml:space="preserve">  </w:t>
      </w:r>
    </w:p>
    <w:p w:rsidR="00237470" w:rsidRPr="00700B67" w:rsidRDefault="00237470" w:rsidP="00237470"/>
    <w:p w:rsidR="006B3D53" w:rsidRDefault="00E814B9" w:rsidP="00237470">
      <w:r>
        <w:rPr>
          <w:bCs/>
        </w:rPr>
        <w:tab/>
        <w:t xml:space="preserve">Finally, ISUS-derived NO3 concentrations were compared to those measured from </w:t>
      </w:r>
      <w:r>
        <w:t>s</w:t>
      </w:r>
      <w:r w:rsidR="00237470">
        <w:t xml:space="preserve">eawater samples collected at various depths during each station occupation </w:t>
      </w:r>
      <w:r>
        <w:t>using simple linear regression</w:t>
      </w:r>
      <w:r w:rsidR="00A12C3C">
        <w:t xml:space="preserve"> (Fig. 1)</w:t>
      </w:r>
      <w:r>
        <w:t xml:space="preserve">.  </w:t>
      </w:r>
      <w:r w:rsidR="00D7531E">
        <w:t>The coefficie</w:t>
      </w:r>
      <w:r w:rsidR="00A12C3C">
        <w:t>nts yielded from the regression</w:t>
      </w:r>
      <w:r w:rsidR="00D7531E">
        <w:t xml:space="preserve"> were used to correct the full downcast profile</w:t>
      </w:r>
      <w:r w:rsidR="00A12C3C">
        <w:t>s</w:t>
      </w:r>
      <w:r w:rsidR="006B3D53">
        <w:t xml:space="preserve"> of the associated ISUS data via the equation:</w:t>
      </w:r>
    </w:p>
    <w:p w:rsidR="006B3D53" w:rsidRDefault="006B3D53" w:rsidP="00237470"/>
    <w:p w:rsidR="006B3D53" w:rsidRDefault="006B3D53" w:rsidP="00237470">
      <w:proofErr w:type="spellStart"/>
      <w:r>
        <w:t>ISUS</w:t>
      </w:r>
      <w:r w:rsidRPr="006B3D53">
        <w:rPr>
          <w:vertAlign w:val="subscript"/>
        </w:rPr>
        <w:t>correct</w:t>
      </w:r>
      <w:proofErr w:type="spellEnd"/>
      <w:r>
        <w:t xml:space="preserve"> = (ISUS – b</w:t>
      </w:r>
      <w:r w:rsidRPr="006B3D53">
        <w:rPr>
          <w:vertAlign w:val="subscript"/>
        </w:rPr>
        <w:t>0</w:t>
      </w:r>
      <w:r>
        <w:t>) / b</w:t>
      </w:r>
      <w:r w:rsidRPr="006B3D53">
        <w:rPr>
          <w:vertAlign w:val="subscript"/>
        </w:rPr>
        <w:t>1</w:t>
      </w:r>
    </w:p>
    <w:p w:rsidR="006B3D53" w:rsidRDefault="006B3D53" w:rsidP="00237470"/>
    <w:p w:rsidR="006B3D53" w:rsidRDefault="006B3D53" w:rsidP="00237470">
      <w:proofErr w:type="gramStart"/>
      <w:r>
        <w:t>where</w:t>
      </w:r>
      <w:proofErr w:type="gramEnd"/>
      <w:r>
        <w:t xml:space="preserve"> b</w:t>
      </w:r>
      <w:r w:rsidRPr="006B3D53">
        <w:rPr>
          <w:vertAlign w:val="subscript"/>
        </w:rPr>
        <w:t>0</w:t>
      </w:r>
      <w:r>
        <w:t xml:space="preserve"> = 8.0922 (intercept) and b</w:t>
      </w:r>
      <w:r w:rsidRPr="006B3D53">
        <w:rPr>
          <w:vertAlign w:val="subscript"/>
        </w:rPr>
        <w:t>1</w:t>
      </w:r>
      <w:r>
        <w:t xml:space="preserve"> = 0.7344 (slope)</w:t>
      </w:r>
    </w:p>
    <w:p w:rsidR="006B3D53" w:rsidRDefault="006B3D53" w:rsidP="00237470"/>
    <w:p w:rsidR="00EF79A8" w:rsidRDefault="00EF79A8" w:rsidP="00237470">
      <w:r>
        <w:rPr>
          <w:noProof/>
        </w:rPr>
        <w:drawing>
          <wp:inline distT="0" distB="0" distL="0" distR="0">
            <wp:extent cx="5486400" cy="2976372"/>
            <wp:effectExtent l="2540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486400" cy="2976372"/>
                    </a:xfrm>
                    <a:prstGeom prst="rect">
                      <a:avLst/>
                    </a:prstGeom>
                    <a:noFill/>
                    <a:ln w="9525">
                      <a:noFill/>
                      <a:miter lim="800000"/>
                      <a:headEnd/>
                      <a:tailEnd/>
                    </a:ln>
                  </pic:spPr>
                </pic:pic>
              </a:graphicData>
            </a:graphic>
          </wp:inline>
        </w:drawing>
      </w:r>
    </w:p>
    <w:p w:rsidR="00243016" w:rsidRPr="009C3C50" w:rsidRDefault="00EF79A8" w:rsidP="00237470">
      <w:pPr>
        <w:rPr>
          <w:rFonts w:ascii="Arial" w:hAnsi="Arial"/>
          <w:sz w:val="20"/>
        </w:rPr>
      </w:pPr>
      <w:r w:rsidRPr="009C3C50">
        <w:rPr>
          <w:rFonts w:ascii="Arial" w:hAnsi="Arial"/>
          <w:b/>
          <w:sz w:val="20"/>
        </w:rPr>
        <w:t>Fig. 1.</w:t>
      </w:r>
      <w:r w:rsidRPr="009C3C50">
        <w:rPr>
          <w:rFonts w:ascii="Arial" w:hAnsi="Arial"/>
          <w:sz w:val="20"/>
        </w:rPr>
        <w:t xml:space="preserve">  </w:t>
      </w:r>
      <w:proofErr w:type="spellStart"/>
      <w:r w:rsidRPr="009C3C50">
        <w:rPr>
          <w:rFonts w:ascii="Arial" w:hAnsi="Arial"/>
          <w:sz w:val="20"/>
        </w:rPr>
        <w:t>Scatterplot</w:t>
      </w:r>
      <w:proofErr w:type="spellEnd"/>
      <w:r w:rsidRPr="009C3C50">
        <w:rPr>
          <w:rFonts w:ascii="Arial" w:hAnsi="Arial"/>
          <w:sz w:val="20"/>
        </w:rPr>
        <w:t xml:space="preserve"> of nitrate (NO3) concentrations measured from discrete water samples (Bottle NO3) and those using ISUS.  The line and equation of the simple linear regression is shown in the figure.</w:t>
      </w:r>
    </w:p>
    <w:p w:rsidR="00243016" w:rsidRDefault="00243016" w:rsidP="00237470"/>
    <w:p w:rsidR="009024F8" w:rsidRDefault="00243016" w:rsidP="00237470">
      <w:r>
        <w:t xml:space="preserve">After correction, the bottle- and ISUS-derived nitrate concentrations generally agreed to within ± 0.6 </w:t>
      </w:r>
      <w:r w:rsidRPr="009C3C50">
        <w:rPr>
          <w:rFonts w:ascii="Symbol" w:hAnsi="Symbol"/>
        </w:rPr>
        <w:t>m</w:t>
      </w:r>
      <w:r>
        <w:t>M with occasionally larger dis</w:t>
      </w:r>
      <w:r w:rsidR="009C3C50">
        <w:t xml:space="preserve">crepancies of 1-3 </w:t>
      </w:r>
      <w:r w:rsidR="009C3C50" w:rsidRPr="009C3C50">
        <w:rPr>
          <w:rFonts w:ascii="Symbol" w:hAnsi="Symbol"/>
        </w:rPr>
        <w:t>m</w:t>
      </w:r>
      <w:r w:rsidR="009C3C50">
        <w:t>M in regions of rapid change with depth (</w:t>
      </w:r>
      <w:proofErr w:type="spellStart"/>
      <w:r w:rsidR="009C3C50">
        <w:t>e.g</w:t>
      </w:r>
      <w:proofErr w:type="spellEnd"/>
      <w:r w:rsidR="009C3C50">
        <w:t xml:space="preserve">, </w:t>
      </w:r>
      <w:proofErr w:type="spellStart"/>
      <w:r w:rsidR="009C3C50">
        <w:t>nitricline</w:t>
      </w:r>
      <w:proofErr w:type="spellEnd"/>
      <w:r w:rsidR="009C3C50">
        <w:t>) or features (minima and/or maxima) that can be difficult to capture with discrete samples.</w:t>
      </w:r>
    </w:p>
    <w:p w:rsidR="009024F8" w:rsidRDefault="009024F8" w:rsidP="00237470"/>
    <w:p w:rsidR="00120064" w:rsidRDefault="00120064" w:rsidP="00120064"/>
    <w:p w:rsidR="00120064" w:rsidRDefault="00120064" w:rsidP="00120064">
      <w:r>
        <w:t>The final data files are tab-delimited ASCII text files, each consisting of 12 columns of data:</w:t>
      </w:r>
    </w:p>
    <w:p w:rsidR="00120064" w:rsidRDefault="00120064" w:rsidP="00120064">
      <w:pPr>
        <w:autoSpaceDE w:val="0"/>
        <w:autoSpaceDN w:val="0"/>
        <w:adjustRightInd w:val="0"/>
        <w:rPr>
          <w:rFonts w:ascii="Courier New" w:hAnsi="Courier New"/>
        </w:rPr>
      </w:pPr>
    </w:p>
    <w:p w:rsidR="00120064" w:rsidRPr="00120064" w:rsidRDefault="00120064" w:rsidP="00120064">
      <w:pPr>
        <w:autoSpaceDE w:val="0"/>
        <w:autoSpaceDN w:val="0"/>
        <w:adjustRightInd w:val="0"/>
        <w:rPr>
          <w:rFonts w:cs="Times"/>
          <w:b/>
        </w:rPr>
      </w:pPr>
      <w:r>
        <w:rPr>
          <w:rFonts w:cs="Times"/>
          <w:b/>
        </w:rPr>
        <w:t>(1</w:t>
      </w:r>
      <w:r w:rsidRPr="0077142B">
        <w:rPr>
          <w:rFonts w:cs="Times"/>
          <w:b/>
        </w:rPr>
        <w:t xml:space="preserve">) = </w:t>
      </w:r>
      <w:proofErr w:type="spellStart"/>
      <w:r>
        <w:rPr>
          <w:rFonts w:cs="Times"/>
          <w:b/>
        </w:rPr>
        <w:t>Pressue</w:t>
      </w:r>
      <w:proofErr w:type="spellEnd"/>
      <w:r>
        <w:rPr>
          <w:rFonts w:cs="Times"/>
          <w:b/>
        </w:rPr>
        <w:t xml:space="preserve"> [db]</w:t>
      </w:r>
    </w:p>
    <w:p w:rsidR="00120064" w:rsidRDefault="00120064" w:rsidP="00120064">
      <w:pPr>
        <w:autoSpaceDE w:val="0"/>
        <w:autoSpaceDN w:val="0"/>
        <w:adjustRightInd w:val="0"/>
        <w:rPr>
          <w:rFonts w:cs="Times"/>
          <w:b/>
        </w:rPr>
      </w:pPr>
      <w:r>
        <w:rPr>
          <w:rFonts w:cs="Times"/>
          <w:b/>
        </w:rPr>
        <w:t>(2</w:t>
      </w:r>
      <w:r w:rsidRPr="0077142B">
        <w:rPr>
          <w:rFonts w:cs="Times"/>
          <w:b/>
        </w:rPr>
        <w:t xml:space="preserve">) = </w:t>
      </w:r>
      <w:r>
        <w:rPr>
          <w:rFonts w:cs="Times"/>
          <w:b/>
        </w:rPr>
        <w:t>Depth [salt water, m]</w:t>
      </w:r>
    </w:p>
    <w:p w:rsidR="00120064" w:rsidRDefault="00120064" w:rsidP="00120064">
      <w:pPr>
        <w:autoSpaceDE w:val="0"/>
        <w:autoSpaceDN w:val="0"/>
        <w:adjustRightInd w:val="0"/>
        <w:rPr>
          <w:rFonts w:cs="Times"/>
          <w:b/>
        </w:rPr>
      </w:pPr>
      <w:r>
        <w:rPr>
          <w:rFonts w:cs="Times"/>
          <w:b/>
        </w:rPr>
        <w:t>(3</w:t>
      </w:r>
      <w:r w:rsidRPr="0077142B">
        <w:rPr>
          <w:rFonts w:cs="Times"/>
          <w:b/>
        </w:rPr>
        <w:t>) = Temperature [ITS-90, deg C]</w:t>
      </w:r>
    </w:p>
    <w:p w:rsidR="00120064" w:rsidRPr="0077142B" w:rsidRDefault="00120064" w:rsidP="00120064">
      <w:pPr>
        <w:autoSpaceDE w:val="0"/>
        <w:autoSpaceDN w:val="0"/>
        <w:adjustRightInd w:val="0"/>
        <w:rPr>
          <w:rFonts w:cs="Times"/>
        </w:rPr>
      </w:pPr>
      <w:r>
        <w:rPr>
          <w:rFonts w:cs="Times"/>
          <w:b/>
        </w:rPr>
        <w:t>(4</w:t>
      </w:r>
      <w:r w:rsidRPr="0077142B">
        <w:rPr>
          <w:rFonts w:cs="Times"/>
          <w:b/>
        </w:rPr>
        <w:t xml:space="preserve">) = </w:t>
      </w:r>
      <w:r>
        <w:rPr>
          <w:rFonts w:cs="Times"/>
          <w:b/>
        </w:rPr>
        <w:t xml:space="preserve">Potential </w:t>
      </w:r>
      <w:r w:rsidRPr="0077142B">
        <w:rPr>
          <w:rFonts w:cs="Times"/>
          <w:b/>
        </w:rPr>
        <w:t>Temperature [ITS-90, deg C]</w:t>
      </w:r>
    </w:p>
    <w:p w:rsidR="00120064" w:rsidRDefault="00120064" w:rsidP="00120064">
      <w:pPr>
        <w:autoSpaceDE w:val="0"/>
        <w:autoSpaceDN w:val="0"/>
        <w:adjustRightInd w:val="0"/>
        <w:rPr>
          <w:rFonts w:cs="Times"/>
          <w:b/>
        </w:rPr>
      </w:pPr>
      <w:r>
        <w:rPr>
          <w:rFonts w:cs="Times"/>
          <w:b/>
        </w:rPr>
        <w:t xml:space="preserve">(5) = </w:t>
      </w:r>
      <w:r w:rsidRPr="0077142B">
        <w:rPr>
          <w:rFonts w:cs="Times"/>
          <w:b/>
        </w:rPr>
        <w:t>Salinity [PSU]</w:t>
      </w:r>
    </w:p>
    <w:p w:rsidR="00120064" w:rsidRPr="0077142B" w:rsidRDefault="00120064" w:rsidP="00120064">
      <w:pPr>
        <w:autoSpaceDE w:val="0"/>
        <w:autoSpaceDN w:val="0"/>
        <w:adjustRightInd w:val="0"/>
        <w:rPr>
          <w:rFonts w:cs="Times"/>
        </w:rPr>
      </w:pPr>
      <w:r>
        <w:rPr>
          <w:rFonts w:cs="Times"/>
          <w:b/>
        </w:rPr>
        <w:t>(6) = Potential Density [sigma, kg m-</w:t>
      </w:r>
      <w:r w:rsidRPr="00073BE1">
        <w:rPr>
          <w:rFonts w:cs="Times"/>
          <w:b/>
          <w:vertAlign w:val="superscript"/>
        </w:rPr>
        <w:t>3</w:t>
      </w:r>
      <w:r>
        <w:rPr>
          <w:rFonts w:cs="Times"/>
          <w:b/>
        </w:rPr>
        <w:t>]</w:t>
      </w:r>
    </w:p>
    <w:p w:rsidR="00120064" w:rsidRDefault="00120064" w:rsidP="00120064">
      <w:pPr>
        <w:autoSpaceDE w:val="0"/>
        <w:autoSpaceDN w:val="0"/>
        <w:adjustRightInd w:val="0"/>
        <w:rPr>
          <w:rFonts w:cs="Times"/>
          <w:b/>
        </w:rPr>
      </w:pPr>
      <w:r>
        <w:rPr>
          <w:rFonts w:cs="Times"/>
          <w:b/>
        </w:rPr>
        <w:t>(7</w:t>
      </w:r>
      <w:r w:rsidRPr="0077142B">
        <w:rPr>
          <w:rFonts w:cs="Times"/>
          <w:b/>
        </w:rPr>
        <w:t xml:space="preserve">) = </w:t>
      </w:r>
      <w:r>
        <w:rPr>
          <w:rFonts w:cs="Times"/>
          <w:b/>
        </w:rPr>
        <w:t xml:space="preserve">Dissolved </w:t>
      </w:r>
      <w:r w:rsidRPr="0077142B">
        <w:rPr>
          <w:rFonts w:cs="Times"/>
          <w:b/>
        </w:rPr>
        <w:t>Oxygen [</w:t>
      </w:r>
      <w:proofErr w:type="spellStart"/>
      <w:r w:rsidRPr="00447BC4">
        <w:rPr>
          <w:b/>
        </w:rPr>
        <w:t>mL</w:t>
      </w:r>
      <w:proofErr w:type="spellEnd"/>
      <w:r w:rsidRPr="00447BC4">
        <w:rPr>
          <w:b/>
        </w:rPr>
        <w:t xml:space="preserve"> L</w:t>
      </w:r>
      <w:r w:rsidRPr="00447BC4">
        <w:rPr>
          <w:b/>
          <w:vertAlign w:val="superscript"/>
        </w:rPr>
        <w:t>-1</w:t>
      </w:r>
      <w:r>
        <w:rPr>
          <w:rFonts w:cs="Times"/>
          <w:b/>
        </w:rPr>
        <w:t>]</w:t>
      </w:r>
    </w:p>
    <w:p w:rsidR="00120064" w:rsidRDefault="00120064" w:rsidP="00120064">
      <w:pPr>
        <w:autoSpaceDE w:val="0"/>
        <w:autoSpaceDN w:val="0"/>
        <w:adjustRightInd w:val="0"/>
        <w:rPr>
          <w:rFonts w:cs="Times"/>
          <w:b/>
        </w:rPr>
      </w:pPr>
      <w:r>
        <w:rPr>
          <w:rFonts w:cs="Times"/>
          <w:b/>
        </w:rPr>
        <w:t>(8</w:t>
      </w:r>
      <w:r w:rsidRPr="0077142B">
        <w:rPr>
          <w:rFonts w:cs="Times"/>
          <w:b/>
        </w:rPr>
        <w:t xml:space="preserve">) = </w:t>
      </w:r>
      <w:r>
        <w:rPr>
          <w:rFonts w:cs="Times"/>
          <w:b/>
        </w:rPr>
        <w:t xml:space="preserve">Dissolved </w:t>
      </w:r>
      <w:r w:rsidRPr="0077142B">
        <w:rPr>
          <w:rFonts w:cs="Times"/>
          <w:b/>
        </w:rPr>
        <w:t>Oxygen [</w:t>
      </w:r>
      <w:proofErr w:type="spellStart"/>
      <w:r>
        <w:rPr>
          <w:b/>
        </w:rPr>
        <w:t>mmol</w:t>
      </w:r>
      <w:proofErr w:type="spellEnd"/>
      <w:r>
        <w:rPr>
          <w:b/>
        </w:rPr>
        <w:t xml:space="preserve"> m</w:t>
      </w:r>
      <w:r>
        <w:rPr>
          <w:b/>
          <w:vertAlign w:val="superscript"/>
        </w:rPr>
        <w:t>-3</w:t>
      </w:r>
      <w:r>
        <w:rPr>
          <w:rFonts w:cs="Times"/>
          <w:b/>
        </w:rPr>
        <w:t>]</w:t>
      </w:r>
    </w:p>
    <w:p w:rsidR="00120064" w:rsidRDefault="00120064" w:rsidP="00120064">
      <w:pPr>
        <w:autoSpaceDE w:val="0"/>
        <w:autoSpaceDN w:val="0"/>
        <w:adjustRightInd w:val="0"/>
        <w:rPr>
          <w:rFonts w:cs="Times"/>
          <w:b/>
        </w:rPr>
      </w:pPr>
      <w:r>
        <w:rPr>
          <w:rFonts w:cs="Times"/>
          <w:b/>
        </w:rPr>
        <w:t>(9</w:t>
      </w:r>
      <w:r w:rsidRPr="0077142B">
        <w:rPr>
          <w:rFonts w:cs="Times"/>
          <w:b/>
        </w:rPr>
        <w:t xml:space="preserve">) = </w:t>
      </w:r>
      <w:r>
        <w:rPr>
          <w:rFonts w:cs="Times"/>
          <w:b/>
        </w:rPr>
        <w:t xml:space="preserve">Dissolved </w:t>
      </w:r>
      <w:r w:rsidRPr="0077142B">
        <w:rPr>
          <w:rFonts w:cs="Times"/>
          <w:b/>
        </w:rPr>
        <w:t>Oxygen [</w:t>
      </w:r>
      <w:r w:rsidRPr="00073BE1">
        <w:rPr>
          <w:rFonts w:ascii="Symbol" w:hAnsi="Symbol"/>
          <w:b/>
        </w:rPr>
        <w:t>m</w:t>
      </w:r>
      <w:r>
        <w:rPr>
          <w:b/>
        </w:rPr>
        <w:t>mol kg</w:t>
      </w:r>
      <w:r>
        <w:rPr>
          <w:b/>
          <w:vertAlign w:val="superscript"/>
        </w:rPr>
        <w:t>-1</w:t>
      </w:r>
      <w:r>
        <w:rPr>
          <w:rFonts w:cs="Times"/>
          <w:b/>
        </w:rPr>
        <w:t>]</w:t>
      </w:r>
    </w:p>
    <w:p w:rsidR="00120064" w:rsidRDefault="00120064" w:rsidP="00120064">
      <w:pPr>
        <w:autoSpaceDE w:val="0"/>
        <w:autoSpaceDN w:val="0"/>
        <w:adjustRightInd w:val="0"/>
        <w:rPr>
          <w:rFonts w:cs="Times"/>
          <w:b/>
        </w:rPr>
      </w:pPr>
      <w:r>
        <w:rPr>
          <w:rFonts w:cs="Times"/>
          <w:b/>
        </w:rPr>
        <w:t>(10) = Oxygen Percent Saturation [%]</w:t>
      </w:r>
    </w:p>
    <w:p w:rsidR="00367E7A" w:rsidRDefault="00304A0C" w:rsidP="00120064">
      <w:pPr>
        <w:autoSpaceDE w:val="0"/>
        <w:autoSpaceDN w:val="0"/>
        <w:adjustRightInd w:val="0"/>
        <w:rPr>
          <w:rFonts w:cs="Times"/>
          <w:b/>
        </w:rPr>
      </w:pPr>
      <w:r>
        <w:rPr>
          <w:rFonts w:cs="Times"/>
          <w:b/>
        </w:rPr>
        <w:t>(11</w:t>
      </w:r>
      <w:r w:rsidR="00120064" w:rsidRPr="0077142B">
        <w:rPr>
          <w:rFonts w:cs="Times"/>
          <w:b/>
        </w:rPr>
        <w:t xml:space="preserve">) = </w:t>
      </w:r>
      <w:r w:rsidR="00120064">
        <w:rPr>
          <w:rFonts w:cs="Times"/>
          <w:b/>
        </w:rPr>
        <w:t xml:space="preserve">Nitrate, corrected </w:t>
      </w:r>
      <w:r w:rsidR="00120064" w:rsidRPr="0077142B">
        <w:rPr>
          <w:rFonts w:cs="Times"/>
          <w:b/>
        </w:rPr>
        <w:t>[</w:t>
      </w:r>
      <w:r w:rsidR="00120064" w:rsidRPr="0077142B">
        <w:rPr>
          <w:rFonts w:ascii="Symbol" w:hAnsi="Symbol" w:cs="Times"/>
          <w:b/>
        </w:rPr>
        <w:t></w:t>
      </w:r>
      <w:r w:rsidR="00120064">
        <w:rPr>
          <w:rFonts w:cs="Times"/>
          <w:b/>
        </w:rPr>
        <w:t>M]</w:t>
      </w:r>
    </w:p>
    <w:p w:rsidR="00120064" w:rsidRDefault="00120064" w:rsidP="00120064">
      <w:pPr>
        <w:rPr>
          <w:i/>
        </w:rPr>
      </w:pPr>
    </w:p>
    <w:p w:rsidR="00120064" w:rsidRDefault="00120064" w:rsidP="00120064">
      <w:r>
        <w:t>This data was collected under the support of NSF grant OPP-0634122 to K. Falkner and OPP-9910305 to J. Morison.  Any opinions, findings, and conclusions or recommendations expressed in this material are those of the author(s) and do not necessarily reflect the views of the National Science Foundation.</w:t>
      </w:r>
    </w:p>
    <w:p w:rsidR="00120064" w:rsidRDefault="00120064" w:rsidP="00120064"/>
    <w:p w:rsidR="00120064" w:rsidRDefault="00120064" w:rsidP="00120064">
      <w:r>
        <w:t>For further information, please contact:</w:t>
      </w:r>
    </w:p>
    <w:p w:rsidR="00120064" w:rsidRDefault="00120064" w:rsidP="00120064"/>
    <w:p w:rsidR="00120064" w:rsidRDefault="00120064" w:rsidP="00120064">
      <w:r>
        <w:t>Dr. Matthew Alkire</w:t>
      </w:r>
      <w:r>
        <w:tab/>
      </w:r>
      <w:r>
        <w:tab/>
      </w:r>
      <w:hyperlink r:id="rId6" w:history="1">
        <w:r>
          <w:rPr>
            <w:rStyle w:val="Hyperlink"/>
          </w:rPr>
          <w:t>malkire@apl.washington.edu</w:t>
        </w:r>
      </w:hyperlink>
      <w:r>
        <w:tab/>
      </w:r>
      <w:r>
        <w:tab/>
        <w:t>(206) 896-1623</w:t>
      </w:r>
    </w:p>
    <w:p w:rsidR="00120064" w:rsidRDefault="00120064" w:rsidP="00120064">
      <w:r>
        <w:t>Applied Physics Laboratory</w:t>
      </w:r>
    </w:p>
    <w:p w:rsidR="00120064" w:rsidRDefault="00120064" w:rsidP="00120064">
      <w:r>
        <w:t>University of Washington</w:t>
      </w:r>
    </w:p>
    <w:p w:rsidR="00120064" w:rsidRDefault="00120064" w:rsidP="00120064">
      <w:r>
        <w:t>1013 NE 40</w:t>
      </w:r>
      <w:r w:rsidRPr="00C0630E">
        <w:rPr>
          <w:vertAlign w:val="superscript"/>
        </w:rPr>
        <w:t>th</w:t>
      </w:r>
      <w:r>
        <w:t xml:space="preserve"> Street</w:t>
      </w:r>
    </w:p>
    <w:p w:rsidR="00120064" w:rsidRDefault="00120064" w:rsidP="00120064">
      <w:r>
        <w:t>Seattle, WA 98105</w:t>
      </w:r>
    </w:p>
    <w:p w:rsidR="00120064" w:rsidRDefault="00120064" w:rsidP="00120064"/>
    <w:p w:rsidR="00120064" w:rsidRDefault="00120064" w:rsidP="00120064">
      <w:r>
        <w:rPr>
          <w:u w:val="single"/>
        </w:rPr>
        <w:t>Reference</w:t>
      </w:r>
      <w:r w:rsidRPr="00332A0A">
        <w:rPr>
          <w:u w:val="single"/>
        </w:rPr>
        <w:t>s</w:t>
      </w:r>
    </w:p>
    <w:p w:rsidR="00120064" w:rsidRDefault="00120064" w:rsidP="00120064"/>
    <w:p w:rsidR="00120064" w:rsidRDefault="00120064" w:rsidP="00120064">
      <w:r>
        <w:t xml:space="preserve">Alkire, M.B., K.K. Falkner, J. Morison, R.W. Collier, </w:t>
      </w:r>
      <w:proofErr w:type="spellStart"/>
      <w:r>
        <w:t>C.K.Guay</w:t>
      </w:r>
      <w:proofErr w:type="spellEnd"/>
      <w:r>
        <w:t xml:space="preserve">, R.A. </w:t>
      </w:r>
      <w:proofErr w:type="spellStart"/>
      <w:r>
        <w:t>Desiderio</w:t>
      </w:r>
      <w:proofErr w:type="spellEnd"/>
      <w:r>
        <w:t xml:space="preserve">, I.G. Rigor, M. </w:t>
      </w:r>
      <w:proofErr w:type="spellStart"/>
      <w:r>
        <w:t>McPhee</w:t>
      </w:r>
      <w:proofErr w:type="spellEnd"/>
      <w:r>
        <w:t xml:space="preserve"> (2010). Sensor-based profiles of the NO parameter in the central Arctic and southern Canada Basin: new insights regarding the cold halocline, </w:t>
      </w:r>
      <w:r>
        <w:rPr>
          <w:i/>
        </w:rPr>
        <w:t xml:space="preserve">Deep-Sea Research I 57: </w:t>
      </w:r>
      <w:r w:rsidRPr="00D40F25">
        <w:t>1432-1443.</w:t>
      </w:r>
    </w:p>
    <w:p w:rsidR="00120064" w:rsidRDefault="00E275E8" w:rsidP="00120064">
      <w:pPr>
        <w:widowControl w:val="0"/>
        <w:autoSpaceDE w:val="0"/>
        <w:autoSpaceDN w:val="0"/>
        <w:adjustRightInd w:val="0"/>
      </w:pPr>
      <w:r>
        <w:fldChar w:fldCharType="begin"/>
      </w:r>
      <w:r w:rsidR="00120064">
        <w:instrText xml:space="preserve"> ADDIN EN.REFLIST </w:instrText>
      </w:r>
      <w:r>
        <w:fldChar w:fldCharType="separate"/>
      </w:r>
    </w:p>
    <w:p w:rsidR="00120064" w:rsidRDefault="00120064" w:rsidP="00120064">
      <w:r>
        <w:t xml:space="preserve">Sakamoto, C.M., K.S Johnson, L.J. Coletti (2009). Improved algorithm for the </w:t>
      </w:r>
    </w:p>
    <w:p w:rsidR="00120064" w:rsidRDefault="00120064" w:rsidP="00120064">
      <w:r>
        <w:t xml:space="preserve">computation of nitrate concentrations in seawater using an in situ ultraviolet spectrophotometer, </w:t>
      </w:r>
      <w:r w:rsidRPr="009F1EF7">
        <w:rPr>
          <w:i/>
        </w:rPr>
        <w:t>Limn</w:t>
      </w:r>
      <w:r>
        <w:rPr>
          <w:i/>
        </w:rPr>
        <w:t>ology</w:t>
      </w:r>
      <w:r w:rsidRPr="009F1EF7">
        <w:rPr>
          <w:i/>
        </w:rPr>
        <w:t xml:space="preserve"> &amp; Ocean</w:t>
      </w:r>
      <w:r>
        <w:rPr>
          <w:i/>
        </w:rPr>
        <w:t>ography:</w:t>
      </w:r>
      <w:r w:rsidRPr="009F1EF7">
        <w:rPr>
          <w:i/>
        </w:rPr>
        <w:t xml:space="preserve"> Methods 7</w:t>
      </w:r>
      <w:r>
        <w:t>, 132-143.</w:t>
      </w:r>
    </w:p>
    <w:p w:rsidR="00120064" w:rsidRDefault="00120064" w:rsidP="00120064">
      <w:pPr>
        <w:widowControl w:val="0"/>
        <w:autoSpaceDE w:val="0"/>
        <w:autoSpaceDN w:val="0"/>
        <w:adjustRightInd w:val="0"/>
        <w:ind w:left="720"/>
      </w:pPr>
    </w:p>
    <w:p w:rsidR="00120064" w:rsidRDefault="00120064" w:rsidP="00120064">
      <w:pPr>
        <w:ind w:left="720"/>
      </w:pPr>
    </w:p>
    <w:p w:rsidR="00120064" w:rsidRDefault="00120064" w:rsidP="00120064"/>
    <w:p w:rsidR="00120064" w:rsidRDefault="00E275E8" w:rsidP="00120064">
      <w:r>
        <w:fldChar w:fldCharType="end"/>
      </w:r>
    </w:p>
    <w:p w:rsidR="00120064" w:rsidRDefault="00120064" w:rsidP="00120064"/>
    <w:p w:rsidR="00120064" w:rsidRDefault="00120064" w:rsidP="00120064"/>
    <w:p w:rsidR="00120064" w:rsidRDefault="00120064"/>
    <w:sectPr w:rsidR="00120064" w:rsidSect="00120064">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20064"/>
    <w:rsid w:val="00015090"/>
    <w:rsid w:val="0004259D"/>
    <w:rsid w:val="00097D61"/>
    <w:rsid w:val="000C1D89"/>
    <w:rsid w:val="000F0A12"/>
    <w:rsid w:val="000F6D78"/>
    <w:rsid w:val="00105BE1"/>
    <w:rsid w:val="00120064"/>
    <w:rsid w:val="001907D7"/>
    <w:rsid w:val="00237470"/>
    <w:rsid w:val="00243016"/>
    <w:rsid w:val="002A3A05"/>
    <w:rsid w:val="00304A0C"/>
    <w:rsid w:val="00323004"/>
    <w:rsid w:val="0034588D"/>
    <w:rsid w:val="00367E7A"/>
    <w:rsid w:val="003F015D"/>
    <w:rsid w:val="004715C8"/>
    <w:rsid w:val="004852F8"/>
    <w:rsid w:val="004F6E12"/>
    <w:rsid w:val="005142D0"/>
    <w:rsid w:val="00521162"/>
    <w:rsid w:val="00556B63"/>
    <w:rsid w:val="005F366B"/>
    <w:rsid w:val="00611D03"/>
    <w:rsid w:val="00651FD7"/>
    <w:rsid w:val="00676D69"/>
    <w:rsid w:val="00687974"/>
    <w:rsid w:val="006B1817"/>
    <w:rsid w:val="006B3D53"/>
    <w:rsid w:val="006C1717"/>
    <w:rsid w:val="006D261E"/>
    <w:rsid w:val="006D26F5"/>
    <w:rsid w:val="006D5B24"/>
    <w:rsid w:val="00731BC7"/>
    <w:rsid w:val="00822E20"/>
    <w:rsid w:val="008941AD"/>
    <w:rsid w:val="008E53AE"/>
    <w:rsid w:val="008F33D1"/>
    <w:rsid w:val="009024F8"/>
    <w:rsid w:val="009675C5"/>
    <w:rsid w:val="00976404"/>
    <w:rsid w:val="009C3C50"/>
    <w:rsid w:val="00A115EA"/>
    <w:rsid w:val="00A12C3C"/>
    <w:rsid w:val="00AA1C3F"/>
    <w:rsid w:val="00AF346D"/>
    <w:rsid w:val="00B34393"/>
    <w:rsid w:val="00B35ED6"/>
    <w:rsid w:val="00B672C3"/>
    <w:rsid w:val="00B7474F"/>
    <w:rsid w:val="00C85142"/>
    <w:rsid w:val="00CC6C45"/>
    <w:rsid w:val="00D36A2A"/>
    <w:rsid w:val="00D7531E"/>
    <w:rsid w:val="00DC4599"/>
    <w:rsid w:val="00DD061E"/>
    <w:rsid w:val="00E0193F"/>
    <w:rsid w:val="00E275E8"/>
    <w:rsid w:val="00E42A94"/>
    <w:rsid w:val="00E814B9"/>
    <w:rsid w:val="00EA56A8"/>
    <w:rsid w:val="00EA6DBB"/>
    <w:rsid w:val="00EF79A8"/>
    <w:rsid w:val="00FA04C5"/>
    <w:rsid w:val="00FE0554"/>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aption" w:qFormat="1"/>
    <w:lsdException w:name="Hyperlink" w:uiPriority="99"/>
    <w:lsdException w:name="FollowedHyperlink" w:uiPriority="99"/>
  </w:latentStyles>
  <w:style w:type="paragraph" w:default="1" w:styleId="Normal">
    <w:name w:val="Normal"/>
    <w:qFormat/>
    <w:rsid w:val="00120064"/>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PlainTextChar">
    <w:name w:val="Plain Text Char"/>
    <w:basedOn w:val="DefaultParagraphFont"/>
    <w:link w:val="PlainText"/>
    <w:rsid w:val="00120064"/>
    <w:rPr>
      <w:rFonts w:ascii="Courier New" w:eastAsia="Times New Roman" w:hAnsi="Courier New" w:cs="Courier New"/>
      <w:sz w:val="20"/>
      <w:szCs w:val="20"/>
    </w:rPr>
  </w:style>
  <w:style w:type="paragraph" w:styleId="PlainText">
    <w:name w:val="Plain Text"/>
    <w:basedOn w:val="Normal"/>
    <w:link w:val="PlainTextChar"/>
    <w:rsid w:val="00120064"/>
    <w:rPr>
      <w:rFonts w:ascii="Courier New" w:hAnsi="Courier New" w:cs="Courier New"/>
      <w:sz w:val="20"/>
      <w:szCs w:val="20"/>
    </w:rPr>
  </w:style>
  <w:style w:type="paragraph" w:styleId="Caption">
    <w:name w:val="caption"/>
    <w:basedOn w:val="Normal"/>
    <w:next w:val="Normal"/>
    <w:qFormat/>
    <w:rsid w:val="00120064"/>
    <w:rPr>
      <w:b/>
      <w:bCs/>
      <w:sz w:val="20"/>
      <w:szCs w:val="20"/>
    </w:rPr>
  </w:style>
  <w:style w:type="character" w:styleId="Hyperlink">
    <w:name w:val="Hyperlink"/>
    <w:basedOn w:val="DefaultParagraphFont"/>
    <w:uiPriority w:val="99"/>
    <w:rsid w:val="00120064"/>
    <w:rPr>
      <w:color w:val="0000FF"/>
      <w:u w:val="single"/>
    </w:rPr>
  </w:style>
  <w:style w:type="table" w:styleId="TableGrid">
    <w:name w:val="Table Grid"/>
    <w:basedOn w:val="TableNormal"/>
    <w:rsid w:val="009024F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9108540">
      <w:bodyDiv w:val="1"/>
      <w:marLeft w:val="0"/>
      <w:marRight w:val="0"/>
      <w:marTop w:val="0"/>
      <w:marBottom w:val="0"/>
      <w:divBdr>
        <w:top w:val="none" w:sz="0" w:space="0" w:color="auto"/>
        <w:left w:val="none" w:sz="0" w:space="0" w:color="auto"/>
        <w:bottom w:val="none" w:sz="0" w:space="0" w:color="auto"/>
        <w:right w:val="none" w:sz="0" w:space="0" w:color="auto"/>
      </w:divBdr>
    </w:div>
    <w:div w:id="1175726491">
      <w:bodyDiv w:val="1"/>
      <w:marLeft w:val="0"/>
      <w:marRight w:val="0"/>
      <w:marTop w:val="0"/>
      <w:marBottom w:val="0"/>
      <w:divBdr>
        <w:top w:val="none" w:sz="0" w:space="0" w:color="auto"/>
        <w:left w:val="none" w:sz="0" w:space="0" w:color="auto"/>
        <w:bottom w:val="none" w:sz="0" w:space="0" w:color="auto"/>
        <w:right w:val="none" w:sz="0" w:space="0" w:color="auto"/>
      </w:divBdr>
    </w:div>
    <w:div w:id="1599294961">
      <w:bodyDiv w:val="1"/>
      <w:marLeft w:val="0"/>
      <w:marRight w:val="0"/>
      <w:marTop w:val="0"/>
      <w:marBottom w:val="0"/>
      <w:divBdr>
        <w:top w:val="none" w:sz="0" w:space="0" w:color="auto"/>
        <w:left w:val="none" w:sz="0" w:space="0" w:color="auto"/>
        <w:bottom w:val="none" w:sz="0" w:space="0" w:color="auto"/>
        <w:right w:val="none" w:sz="0" w:space="0" w:color="auto"/>
      </w:divBdr>
    </w:div>
    <w:div w:id="16811545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cdp.ucar.edu/browse/browse.htm?uri=http://dataportal.ucar.edu/metadata/cadis/cadis.thredds.xml" TargetMode="External"/><Relationship Id="rId5" Type="http://schemas.openxmlformats.org/officeDocument/2006/relationships/image" Target="media/image1.png"/><Relationship Id="rId6" Type="http://schemas.openxmlformats.org/officeDocument/2006/relationships/hyperlink" Target="mailto:kfalkner@coas.oregonstate.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1198</Words>
  <Characters>6833</Characters>
  <Application>Microsoft Macintosh Word</Application>
  <DocSecurity>0</DocSecurity>
  <Lines>56</Lines>
  <Paragraphs>13</Paragraphs>
  <ScaleCrop>false</ScaleCrop>
  <Company>APL-UW</Company>
  <LinksUpToDate>false</LinksUpToDate>
  <CharactersWithSpaces>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Alkire</dc:creator>
  <cp:keywords/>
  <cp:lastModifiedBy>Matthew Alkire</cp:lastModifiedBy>
  <cp:revision>16</cp:revision>
  <dcterms:created xsi:type="dcterms:W3CDTF">2014-08-22T18:00:00Z</dcterms:created>
  <dcterms:modified xsi:type="dcterms:W3CDTF">2014-08-22T19:26:00Z</dcterms:modified>
</cp:coreProperties>
</file>