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064" w:rsidRDefault="00120064" w:rsidP="00120064">
      <w:pPr>
        <w:rPr>
          <w:b/>
        </w:rPr>
      </w:pPr>
      <w:r>
        <w:rPr>
          <w:b/>
        </w:rPr>
        <w:t>Meta Data for North Pole Environmental Observatory 2012 ISUS Nitrate Survey</w:t>
      </w:r>
    </w:p>
    <w:p w:rsidR="00120064" w:rsidRDefault="00120064" w:rsidP="00120064"/>
    <w:p w:rsidR="008941AD" w:rsidRDefault="00FE0554" w:rsidP="00FE0554">
      <w:pPr>
        <w:rPr>
          <w:color w:val="000000"/>
          <w:u w:val="single"/>
        </w:rPr>
      </w:pPr>
      <w:r>
        <w:tab/>
      </w:r>
      <w:r w:rsidRPr="00827DCE">
        <w:t>Measurements were collected using two Seabird SBE19</w:t>
      </w:r>
      <w:r w:rsidRPr="00827DCE">
        <w:rPr>
          <w:i/>
        </w:rPr>
        <w:t>plus</w:t>
      </w:r>
      <w:r w:rsidRPr="00827DCE">
        <w:t xml:space="preserve"> </w:t>
      </w:r>
      <w:proofErr w:type="spellStart"/>
      <w:r w:rsidRPr="00827DCE">
        <w:t>Seacats</w:t>
      </w:r>
      <w:proofErr w:type="spellEnd"/>
      <w:r w:rsidRPr="00827DCE">
        <w:t xml:space="preserve"> (serial numbers 5076 and 4000), each outfitted with an SBE43 O</w:t>
      </w:r>
      <w:r w:rsidRPr="00827DCE">
        <w:rPr>
          <w:vertAlign w:val="subscript"/>
        </w:rPr>
        <w:t>2</w:t>
      </w:r>
      <w:r w:rsidRPr="00827DCE">
        <w:t>-sensor (serial number</w:t>
      </w:r>
      <w:r>
        <w:t xml:space="preserve">s 0229 and 1406, respectively).  </w:t>
      </w:r>
      <w:r w:rsidRPr="00827DCE">
        <w:t>The SBE43 sensors were plumbed in-line between the TC cell and Seabir</w:t>
      </w:r>
      <w:r>
        <w:t>d 2.0K pump of each instrument.  The CTD-O</w:t>
      </w:r>
      <w:r w:rsidRPr="00827DCE">
        <w:rPr>
          <w:vertAlign w:val="subscript"/>
        </w:rPr>
        <w:t>2</w:t>
      </w:r>
      <w:r>
        <w:t xml:space="preserve"> package was hung below an in-situ ultraviolet </w:t>
      </w:r>
      <w:proofErr w:type="spellStart"/>
      <w:r>
        <w:t>spectrophotomer</w:t>
      </w:r>
      <w:proofErr w:type="spellEnd"/>
      <w:r>
        <w:t xml:space="preserve"> (ISUS) and battery pack, mounted vertically in a stainless steel frame, using 4-inch, locking </w:t>
      </w:r>
      <w:proofErr w:type="spellStart"/>
      <w:r>
        <w:t>carabiners</w:t>
      </w:r>
      <w:proofErr w:type="spellEnd"/>
      <w:r>
        <w:t>.  During Casts 1-12, the ISUS was fitted with a sample volume accessory allowing the pumped seawater outflow from the CTD-O</w:t>
      </w:r>
      <w:r w:rsidRPr="00827DCE">
        <w:rPr>
          <w:vertAlign w:val="subscript"/>
        </w:rPr>
        <w:t>2</w:t>
      </w:r>
      <w:r>
        <w:t xml:space="preserve"> package to be routed directly to the optical probe of the ISUS via a ~0.9 m length of </w:t>
      </w:r>
      <w:proofErr w:type="spellStart"/>
      <w:r>
        <w:t>Tygon</w:t>
      </w:r>
      <w:proofErr w:type="spellEnd"/>
      <w:r>
        <w:t xml:space="preserve"> tubing.  As a consequence of the physical separation between the </w:t>
      </w:r>
      <w:proofErr w:type="spellStart"/>
      <w:r>
        <w:t>thermistor</w:t>
      </w:r>
      <w:proofErr w:type="spellEnd"/>
      <w:r>
        <w:t xml:space="preserve"> and O</w:t>
      </w:r>
      <w:r w:rsidRPr="003D6D3D">
        <w:rPr>
          <w:vertAlign w:val="subscript"/>
        </w:rPr>
        <w:t>2</w:t>
      </w:r>
      <w:r>
        <w:t xml:space="preserve"> sensor (as well as the different response times of the two sensors), there is a small lag in time between temperature and O</w:t>
      </w:r>
      <w:r w:rsidRPr="003D6D3D">
        <w:rPr>
          <w:vertAlign w:val="subscript"/>
        </w:rPr>
        <w:t>2</w:t>
      </w:r>
      <w:r>
        <w:t xml:space="preserve"> measurements of the same water parcel.  Similarly, there is a longer lag between temperature and nitrate measurements made by the ISUS.  As a result, the O</w:t>
      </w:r>
      <w:r w:rsidRPr="003D6D3D">
        <w:rPr>
          <w:vertAlign w:val="subscript"/>
        </w:rPr>
        <w:t>2</w:t>
      </w:r>
      <w:r>
        <w:t xml:space="preserve"> and NO</w:t>
      </w:r>
      <w:r w:rsidRPr="003D6D3D">
        <w:rPr>
          <w:vertAlign w:val="subscript"/>
        </w:rPr>
        <w:t>3</w:t>
      </w:r>
      <w:r>
        <w:t xml:space="preserve"> data must be “advanced” in time such that the conductivity (salinity), temperature, oxygen, and nitrate data are correctly aligned relative to pressure.  The stations occupied during the 2012 field season of the North Pole Environmental Observatory as well as a summary of the advances computed to properly align the </w:t>
      </w:r>
      <w:r w:rsidR="008941AD">
        <w:t>N</w:t>
      </w:r>
      <w:r>
        <w:t>O</w:t>
      </w:r>
      <w:r w:rsidR="008941AD">
        <w:rPr>
          <w:vertAlign w:val="subscript"/>
        </w:rPr>
        <w:t>3</w:t>
      </w:r>
      <w:r>
        <w:t xml:space="preserve"> data are </w:t>
      </w:r>
      <w:r w:rsidRPr="00827DCE">
        <w:t>listed in Table 1.</w:t>
      </w:r>
      <w:r>
        <w:t xml:space="preserve">  </w:t>
      </w:r>
      <w:r w:rsidRPr="00827DCE">
        <w:t xml:space="preserve">The complete suite of NPEO 2012 </w:t>
      </w:r>
      <w:r w:rsidR="008941AD">
        <w:t>Nitrate</w:t>
      </w:r>
      <w:r w:rsidRPr="00827DCE">
        <w:t xml:space="preserve"> data has been archived separately at CADIS. The files described below can be obtained at:</w:t>
      </w:r>
      <w:r w:rsidR="008941AD">
        <w:rPr>
          <w:color w:val="000000"/>
          <w:u w:val="single"/>
        </w:rPr>
        <w:t xml:space="preserve"> </w:t>
      </w:r>
    </w:p>
    <w:p w:rsidR="008941AD" w:rsidRDefault="008941AD" w:rsidP="00FE0554">
      <w:pPr>
        <w:rPr>
          <w:color w:val="000000"/>
          <w:u w:val="single"/>
        </w:rPr>
      </w:pPr>
    </w:p>
    <w:p w:rsidR="008941AD" w:rsidRDefault="00FE0554" w:rsidP="00FE0554">
      <w:hyperlink r:id="rId4" w:history="1">
        <w:r w:rsidRPr="00827DCE">
          <w:rPr>
            <w:rStyle w:val="Hyperlink"/>
          </w:rPr>
          <w:t>http://cdp.ucar.edu/browse/browse.htm?uri=http://dataportal.ucar.edu/metadata/cadis/cadis.thredds.xml</w:t>
        </w:r>
      </w:hyperlink>
      <w:r w:rsidRPr="00827DCE">
        <w:rPr>
          <w:color w:val="000000"/>
        </w:rPr>
        <w:t>.</w:t>
      </w:r>
      <w:r>
        <w:t xml:space="preserve">  </w:t>
      </w:r>
    </w:p>
    <w:p w:rsidR="008941AD" w:rsidRDefault="008941AD" w:rsidP="00FE0554"/>
    <w:p w:rsidR="008941AD" w:rsidRDefault="008941AD" w:rsidP="008941AD">
      <w:r>
        <w:t>The CTD-O</w:t>
      </w:r>
      <w:r w:rsidRPr="00E66333">
        <w:rPr>
          <w:vertAlign w:val="subscript"/>
        </w:rPr>
        <w:t>2</w:t>
      </w:r>
      <w:r>
        <w:t xml:space="preserve"> data processing steps are described separately in the README file accompanying those data and will not be repeated here.  These data can also be accessed at CADIS.</w:t>
      </w:r>
    </w:p>
    <w:p w:rsidR="008941AD" w:rsidRDefault="00FE0554" w:rsidP="00FE0554">
      <w:r>
        <w:tab/>
      </w:r>
    </w:p>
    <w:p w:rsidR="00FE0554" w:rsidRPr="00827DCE" w:rsidRDefault="008941AD" w:rsidP="00FE0554">
      <w:r>
        <w:tab/>
      </w:r>
      <w:r w:rsidR="00FE0554" w:rsidRPr="00827DCE">
        <w:t>Cast</w:t>
      </w:r>
      <w:r w:rsidR="00FE0554">
        <w:t>s were begun by lowering the instrument package to a depth of ~15 meters to allow</w:t>
      </w:r>
      <w:r w:rsidR="00FE0554" w:rsidRPr="00827DCE">
        <w:t xml:space="preserve"> the instruments</w:t>
      </w:r>
      <w:r w:rsidR="00FE0554">
        <w:t xml:space="preserve"> to come to ambient temperature while attempting to prevent any slush ice being pumped into the system.  The package was then brought back up to the near surface and six </w:t>
      </w:r>
      <w:proofErr w:type="spellStart"/>
      <w:r w:rsidR="00FE0554">
        <w:t>Niskin</w:t>
      </w:r>
      <w:proofErr w:type="spellEnd"/>
      <w:r w:rsidR="00FE0554">
        <w:t xml:space="preserve"> bottles were attached to the </w:t>
      </w:r>
      <w:proofErr w:type="spellStart"/>
      <w:r w:rsidR="00FE0554">
        <w:t>hydrowire</w:t>
      </w:r>
      <w:proofErr w:type="spellEnd"/>
      <w:r w:rsidR="00FE0554">
        <w:t xml:space="preserve"> at successive intervals in order to sample the seawater at different target depths (20, 50, 75, 100, 150, and 300 m).  Once the </w:t>
      </w:r>
      <w:proofErr w:type="spellStart"/>
      <w:r w:rsidR="00FE0554">
        <w:t>Niskin</w:t>
      </w:r>
      <w:proofErr w:type="spellEnd"/>
      <w:r w:rsidR="00FE0554">
        <w:t xml:space="preserve"> bottles are in position, a soak time of 5 minutes is allowed before tripping the bottles via messenger.  The bottles are brought back up to the surface and sub-sampled for a variety of chemical variables.  This portion of the cast is referred to as the “bottle cast” and is removed from the archived data files.  Once the last </w:t>
      </w:r>
      <w:proofErr w:type="spellStart"/>
      <w:r w:rsidR="00FE0554">
        <w:t>Niskin</w:t>
      </w:r>
      <w:proofErr w:type="spellEnd"/>
      <w:r w:rsidR="00FE0554">
        <w:t xml:space="preserve"> bottle is removed from the </w:t>
      </w:r>
      <w:proofErr w:type="spellStart"/>
      <w:r w:rsidR="00FE0554">
        <w:t>hydrowire</w:t>
      </w:r>
      <w:proofErr w:type="spellEnd"/>
      <w:r w:rsidR="00FE0554">
        <w:t xml:space="preserve"> the winch is re-zeroed while the instrument package is near the surface.  The package is then lowered through the water column.  This portion of the data record is referred to as the “downcast”.  Once the package reaches 800-900 m, the winch is stopped and the package is brought back up to the surface.  This portion of the cast is referred to as the “</w:t>
      </w:r>
      <w:proofErr w:type="spellStart"/>
      <w:r w:rsidR="00FE0554">
        <w:t>upcast</w:t>
      </w:r>
      <w:proofErr w:type="spellEnd"/>
      <w:r w:rsidR="00FE0554">
        <w:t xml:space="preserve">”.  </w:t>
      </w:r>
      <w:r w:rsidR="00FE0554" w:rsidRPr="00827DCE">
        <w:t xml:space="preserve">The initial parts of the data during which the CTD was lowered, equilibrated, and raised to the surface have been truncated from the final data files.  </w:t>
      </w:r>
      <w:r>
        <w:t xml:space="preserve">This order of operations was found to be optimal for ISUS measurement as it allowed sufficient time for the instrument to warm up and equilibrate with its environment.  </w:t>
      </w:r>
      <w:r w:rsidR="00FE0554" w:rsidRPr="00827DCE">
        <w:t xml:space="preserve">The final data set reported for each station set consists of either downcast or </w:t>
      </w:r>
      <w:proofErr w:type="spellStart"/>
      <w:r w:rsidR="00FE0554" w:rsidRPr="00827DCE">
        <w:t>upcast</w:t>
      </w:r>
      <w:proofErr w:type="spellEnd"/>
      <w:r w:rsidR="00FE0554" w:rsidRPr="00827DCE">
        <w:t xml:space="preserve"> data according to the quality of the data collected (see Table 1). </w:t>
      </w:r>
    </w:p>
    <w:p w:rsidR="00B34393" w:rsidRDefault="00B34393" w:rsidP="00120064"/>
    <w:p w:rsidR="00120064" w:rsidRDefault="00B34393" w:rsidP="00120064">
      <w:r w:rsidRPr="00CA27E9">
        <w:rPr>
          <w:b/>
          <w:sz w:val="20"/>
        </w:rPr>
        <w:t>Table 1.</w:t>
      </w:r>
      <w:r w:rsidRPr="00CA27E9">
        <w:rPr>
          <w:sz w:val="20"/>
        </w:rPr>
        <w:t xml:space="preserve"> Summary of </w:t>
      </w:r>
      <w:r>
        <w:rPr>
          <w:sz w:val="20"/>
        </w:rPr>
        <w:t>ISUS</w:t>
      </w:r>
      <w:r w:rsidRPr="00CA27E9">
        <w:rPr>
          <w:sz w:val="20"/>
        </w:rPr>
        <w:t xml:space="preserve"> data collected during 2012 season of the North Pole Environmental Observatory.  </w:t>
      </w:r>
      <w:r w:rsidR="00FE0554" w:rsidRPr="00CA27E9">
        <w:rPr>
          <w:sz w:val="20"/>
        </w:rPr>
        <w:t>Advances o</w:t>
      </w:r>
      <w:r w:rsidR="00FE0554">
        <w:rPr>
          <w:sz w:val="20"/>
        </w:rPr>
        <w:t xml:space="preserve">f temperature and oxygen </w:t>
      </w:r>
      <w:r w:rsidR="00FE0554" w:rsidRPr="00CA27E9">
        <w:rPr>
          <w:sz w:val="20"/>
        </w:rPr>
        <w:t xml:space="preserve">represent the time (seconds) necessary to shift the corresponding records (relative to pressure) </w:t>
      </w:r>
      <w:r w:rsidR="00FE0554">
        <w:rPr>
          <w:sz w:val="20"/>
        </w:rPr>
        <w:t xml:space="preserve">such that the downcast and </w:t>
      </w:r>
      <w:proofErr w:type="spellStart"/>
      <w:r w:rsidR="00FE0554">
        <w:rPr>
          <w:sz w:val="20"/>
        </w:rPr>
        <w:t>upcast</w:t>
      </w:r>
      <w:proofErr w:type="spellEnd"/>
      <w:r w:rsidR="00FE0554">
        <w:rPr>
          <w:sz w:val="20"/>
        </w:rPr>
        <w:t xml:space="preserve"> data are</w:t>
      </w:r>
      <w:r w:rsidR="00FE0554" w:rsidRPr="00CA27E9">
        <w:rPr>
          <w:sz w:val="20"/>
        </w:rPr>
        <w:t xml:space="preserve"> superimpose</w:t>
      </w:r>
      <w:r w:rsidR="00FE0554">
        <w:rPr>
          <w:sz w:val="20"/>
        </w:rPr>
        <w:t xml:space="preserve">d.  Further details regarding the calculation of the advances are given in the text.  </w:t>
      </w:r>
      <w:r w:rsidR="00FE0554" w:rsidRPr="00CA27E9">
        <w:rPr>
          <w:sz w:val="20"/>
        </w:rPr>
        <w:t>Gray b</w:t>
      </w:r>
      <w:r w:rsidR="00FE0554">
        <w:rPr>
          <w:sz w:val="20"/>
        </w:rPr>
        <w:t>ars highlight data</w:t>
      </w:r>
      <w:r w:rsidR="00FE0554" w:rsidRPr="00CA27E9">
        <w:rPr>
          <w:sz w:val="20"/>
        </w:rPr>
        <w:t xml:space="preserve"> collected using CTD-O</w:t>
      </w:r>
      <w:r w:rsidR="00FE0554" w:rsidRPr="00CA27E9">
        <w:rPr>
          <w:sz w:val="20"/>
          <w:vertAlign w:val="subscript"/>
        </w:rPr>
        <w:t>2</w:t>
      </w:r>
      <w:r w:rsidR="00FE0554" w:rsidRPr="00CA27E9">
        <w:rPr>
          <w:sz w:val="20"/>
        </w:rPr>
        <w:t xml:space="preserve"> package 4000-1406</w:t>
      </w:r>
      <w:r w:rsidR="00FE0554">
        <w:rPr>
          <w:sz w:val="20"/>
        </w:rPr>
        <w:t xml:space="preserve"> whereas all other data collected using the 5076-0229 package</w:t>
      </w:r>
      <w:r w:rsidR="00FE0554" w:rsidRPr="00CA27E9">
        <w:rPr>
          <w:sz w:val="20"/>
        </w:rPr>
        <w:t xml:space="preserve">.  </w:t>
      </w:r>
    </w:p>
    <w:tbl>
      <w:tblPr>
        <w:tblW w:w="8581" w:type="dxa"/>
        <w:tblInd w:w="95" w:type="dxa"/>
        <w:tblLook w:val="0000"/>
      </w:tblPr>
      <w:tblGrid>
        <w:gridCol w:w="650"/>
        <w:gridCol w:w="995"/>
        <w:gridCol w:w="1200"/>
        <w:gridCol w:w="1079"/>
        <w:gridCol w:w="978"/>
        <w:gridCol w:w="1223"/>
        <w:gridCol w:w="1328"/>
        <w:gridCol w:w="1128"/>
      </w:tblGrid>
      <w:tr w:rsidR="00B7474F" w:rsidRPr="00822E20">
        <w:trPr>
          <w:trHeight w:val="340"/>
        </w:trPr>
        <w:tc>
          <w:tcPr>
            <w:tcW w:w="650" w:type="dxa"/>
            <w:tcBorders>
              <w:top w:val="single" w:sz="4" w:space="0" w:color="auto"/>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b/>
                <w:bCs/>
                <w:sz w:val="20"/>
                <w:szCs w:val="16"/>
              </w:rPr>
            </w:pPr>
            <w:r w:rsidRPr="00015090">
              <w:rPr>
                <w:rFonts w:ascii="Arial" w:eastAsiaTheme="minorHAnsi" w:hAnsi="Arial" w:cstheme="minorBidi"/>
                <w:b/>
                <w:bCs/>
                <w:sz w:val="20"/>
                <w:szCs w:val="16"/>
              </w:rPr>
              <w:t>Cast</w:t>
            </w:r>
          </w:p>
        </w:tc>
        <w:tc>
          <w:tcPr>
            <w:tcW w:w="995" w:type="dxa"/>
            <w:tcBorders>
              <w:top w:val="single" w:sz="4" w:space="0" w:color="auto"/>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b/>
                <w:bCs/>
                <w:sz w:val="20"/>
                <w:szCs w:val="16"/>
              </w:rPr>
            </w:pPr>
            <w:r w:rsidRPr="00015090">
              <w:rPr>
                <w:rFonts w:ascii="Arial" w:eastAsiaTheme="minorHAnsi" w:hAnsi="Arial" w:cstheme="minorBidi"/>
                <w:b/>
                <w:bCs/>
                <w:sz w:val="20"/>
                <w:szCs w:val="16"/>
              </w:rPr>
              <w:t>Date</w:t>
            </w:r>
          </w:p>
        </w:tc>
        <w:tc>
          <w:tcPr>
            <w:tcW w:w="1200" w:type="dxa"/>
            <w:tcBorders>
              <w:top w:val="single" w:sz="4" w:space="0" w:color="auto"/>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b/>
                <w:bCs/>
                <w:sz w:val="20"/>
                <w:szCs w:val="16"/>
              </w:rPr>
            </w:pPr>
            <w:r w:rsidRPr="00015090">
              <w:rPr>
                <w:rFonts w:ascii="Arial" w:eastAsiaTheme="minorHAnsi" w:hAnsi="Arial" w:cstheme="minorBidi"/>
                <w:b/>
                <w:bCs/>
                <w:sz w:val="20"/>
                <w:szCs w:val="16"/>
              </w:rPr>
              <w:t>Station</w:t>
            </w:r>
          </w:p>
        </w:tc>
        <w:tc>
          <w:tcPr>
            <w:tcW w:w="1079" w:type="dxa"/>
            <w:tcBorders>
              <w:top w:val="single" w:sz="4" w:space="0" w:color="auto"/>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b/>
                <w:bCs/>
                <w:sz w:val="20"/>
                <w:szCs w:val="16"/>
              </w:rPr>
            </w:pPr>
            <w:r w:rsidRPr="00015090">
              <w:rPr>
                <w:rFonts w:ascii="Arial" w:eastAsiaTheme="minorHAnsi" w:hAnsi="Arial" w:cstheme="minorBidi"/>
                <w:b/>
                <w:bCs/>
                <w:sz w:val="20"/>
                <w:szCs w:val="16"/>
              </w:rPr>
              <w:t>Temp. Adv.</w:t>
            </w:r>
          </w:p>
        </w:tc>
        <w:tc>
          <w:tcPr>
            <w:tcW w:w="978" w:type="dxa"/>
            <w:tcBorders>
              <w:top w:val="single" w:sz="4" w:space="0" w:color="auto"/>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b/>
                <w:bCs/>
                <w:sz w:val="20"/>
                <w:szCs w:val="16"/>
              </w:rPr>
            </w:pPr>
            <w:r w:rsidRPr="00015090">
              <w:rPr>
                <w:rFonts w:ascii="Arial" w:eastAsiaTheme="minorHAnsi" w:hAnsi="Arial" w:cstheme="minorBidi"/>
                <w:b/>
                <w:bCs/>
                <w:sz w:val="20"/>
                <w:szCs w:val="16"/>
              </w:rPr>
              <w:t>ISUS Adv.</w:t>
            </w:r>
          </w:p>
        </w:tc>
        <w:tc>
          <w:tcPr>
            <w:tcW w:w="1223" w:type="dxa"/>
            <w:tcBorders>
              <w:top w:val="single" w:sz="4" w:space="0" w:color="auto"/>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b/>
                <w:bCs/>
                <w:sz w:val="20"/>
                <w:szCs w:val="16"/>
              </w:rPr>
            </w:pPr>
            <w:r w:rsidRPr="00015090">
              <w:rPr>
                <w:rFonts w:ascii="Arial" w:eastAsiaTheme="minorHAnsi" w:hAnsi="Arial" w:cstheme="minorBidi"/>
                <w:b/>
                <w:bCs/>
                <w:sz w:val="20"/>
                <w:szCs w:val="16"/>
              </w:rPr>
              <w:t>App. ISUS Adv.</w:t>
            </w:r>
          </w:p>
        </w:tc>
        <w:tc>
          <w:tcPr>
            <w:tcW w:w="1328" w:type="dxa"/>
            <w:tcBorders>
              <w:top w:val="single" w:sz="4" w:space="0" w:color="auto"/>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b/>
                <w:bCs/>
                <w:sz w:val="20"/>
                <w:szCs w:val="16"/>
              </w:rPr>
            </w:pPr>
            <w:r w:rsidRPr="00015090">
              <w:rPr>
                <w:rFonts w:ascii="Arial" w:eastAsiaTheme="minorHAnsi" w:hAnsi="Arial" w:cstheme="minorBidi"/>
                <w:b/>
                <w:bCs/>
                <w:sz w:val="20"/>
                <w:szCs w:val="16"/>
              </w:rPr>
              <w:t>Cast Reported</w:t>
            </w:r>
          </w:p>
        </w:tc>
        <w:tc>
          <w:tcPr>
            <w:tcW w:w="1128" w:type="dxa"/>
            <w:tcBorders>
              <w:top w:val="single" w:sz="4" w:space="0" w:color="auto"/>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b/>
                <w:bCs/>
                <w:sz w:val="20"/>
                <w:szCs w:val="16"/>
              </w:rPr>
            </w:pPr>
            <w:r w:rsidRPr="00015090">
              <w:rPr>
                <w:rFonts w:ascii="Arial" w:eastAsiaTheme="minorHAnsi" w:hAnsi="Arial" w:cstheme="minorBidi"/>
                <w:b/>
                <w:bCs/>
                <w:sz w:val="20"/>
                <w:szCs w:val="16"/>
              </w:rPr>
              <w:t>Pumped?</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04/16/12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Brno 1</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1.25</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8.0</w:t>
            </w:r>
          </w:p>
        </w:tc>
        <w:tc>
          <w:tcPr>
            <w:tcW w:w="1223"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6.8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down</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2</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04/16/12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85N, 90E</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1.25</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8.0</w:t>
            </w:r>
          </w:p>
        </w:tc>
        <w:tc>
          <w:tcPr>
            <w:tcW w:w="1223"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6.8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down</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3</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04/16/12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86N, 90E</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1.25</w:t>
            </w:r>
          </w:p>
        </w:tc>
        <w:tc>
          <w:tcPr>
            <w:tcW w:w="978" w:type="dxa"/>
            <w:tcBorders>
              <w:top w:val="nil"/>
              <w:left w:val="nil"/>
              <w:bottom w:val="nil"/>
              <w:right w:val="nil"/>
            </w:tcBorders>
            <w:shd w:val="clear" w:color="auto" w:fill="auto"/>
            <w:noWrap/>
            <w:vAlign w:val="bottom"/>
          </w:tcPr>
          <w:p w:rsidR="00B7474F" w:rsidRPr="00015090" w:rsidRDefault="00B7474F" w:rsidP="00B7474F">
            <w:pPr>
              <w:jc w:val="center"/>
              <w:rPr>
                <w:rFonts w:ascii="Arial" w:eastAsiaTheme="minorHAnsi" w:hAnsi="Arial" w:cstheme="minorBidi"/>
                <w:sz w:val="20"/>
                <w:szCs w:val="16"/>
              </w:rPr>
            </w:pPr>
            <w:r w:rsidRPr="00015090">
              <w:rPr>
                <w:rFonts w:ascii="Arial" w:eastAsiaTheme="minorHAnsi" w:hAnsi="Arial" w:cstheme="minorBidi"/>
                <w:sz w:val="20"/>
                <w:szCs w:val="16"/>
              </w:rPr>
              <w:t>5.4</w:t>
            </w:r>
          </w:p>
        </w:tc>
        <w:tc>
          <w:tcPr>
            <w:tcW w:w="1223"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6.8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down</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4</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04/17/12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85N, 170</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1.25</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9.4</w:t>
            </w:r>
          </w:p>
        </w:tc>
        <w:tc>
          <w:tcPr>
            <w:tcW w:w="1223"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6.8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down</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5</w:t>
            </w:r>
          </w:p>
        </w:tc>
        <w:tc>
          <w:tcPr>
            <w:tcW w:w="995"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04/17/12</w:t>
            </w:r>
          </w:p>
        </w:tc>
        <w:tc>
          <w:tcPr>
            <w:tcW w:w="1200"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86N, 175</w:t>
            </w:r>
          </w:p>
        </w:tc>
        <w:tc>
          <w:tcPr>
            <w:tcW w:w="1079"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2.00</w:t>
            </w:r>
          </w:p>
        </w:tc>
        <w:tc>
          <w:tcPr>
            <w:tcW w:w="978"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10.7</w:t>
            </w:r>
          </w:p>
        </w:tc>
        <w:tc>
          <w:tcPr>
            <w:tcW w:w="1223"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6.8</w:t>
            </w:r>
          </w:p>
        </w:tc>
        <w:tc>
          <w:tcPr>
            <w:tcW w:w="1328"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down</w:t>
            </w:r>
          </w:p>
        </w:tc>
        <w:tc>
          <w:tcPr>
            <w:tcW w:w="1128" w:type="dxa"/>
            <w:tcBorders>
              <w:top w:val="nil"/>
              <w:left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6</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04/18/12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88N, 180</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1.50</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21.4</w:t>
            </w:r>
          </w:p>
        </w:tc>
        <w:tc>
          <w:tcPr>
            <w:tcW w:w="1223" w:type="dxa"/>
            <w:tcBorders>
              <w:top w:val="nil"/>
              <w:left w:val="nil"/>
              <w:bottom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9</w:t>
            </w:r>
            <w:r w:rsidR="00B7474F" w:rsidRPr="00015090">
              <w:rPr>
                <w:rFonts w:ascii="Arial" w:eastAsiaTheme="minorHAnsi" w:hAnsi="Arial" w:cstheme="minorBidi"/>
                <w:sz w:val="20"/>
                <w:szCs w:val="16"/>
              </w:rPr>
              <w:t>.8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7</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04/18/12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Brno 2</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1.50</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24.1</w:t>
            </w:r>
          </w:p>
        </w:tc>
        <w:tc>
          <w:tcPr>
            <w:tcW w:w="1223" w:type="dxa"/>
            <w:tcBorders>
              <w:top w:val="nil"/>
              <w:left w:val="nil"/>
              <w:bottom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9</w:t>
            </w:r>
            <w:r w:rsidR="00B7474F" w:rsidRPr="00015090">
              <w:rPr>
                <w:rFonts w:ascii="Arial" w:eastAsiaTheme="minorHAnsi" w:hAnsi="Arial" w:cstheme="minorBidi"/>
                <w:sz w:val="20"/>
                <w:szCs w:val="16"/>
              </w:rPr>
              <w:t>.8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04/19/12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87N, 180</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1.25</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24.1</w:t>
            </w:r>
          </w:p>
        </w:tc>
        <w:tc>
          <w:tcPr>
            <w:tcW w:w="1223" w:type="dxa"/>
            <w:tcBorders>
              <w:top w:val="nil"/>
              <w:left w:val="nil"/>
              <w:bottom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9</w:t>
            </w:r>
            <w:r w:rsidR="00B7474F" w:rsidRPr="00015090">
              <w:rPr>
                <w:rFonts w:ascii="Arial" w:eastAsiaTheme="minorHAnsi" w:hAnsi="Arial" w:cstheme="minorBidi"/>
                <w:sz w:val="20"/>
                <w:szCs w:val="16"/>
              </w:rPr>
              <w:t>.8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9</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04/19/12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89N, 180</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1.00</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18.7</w:t>
            </w:r>
          </w:p>
        </w:tc>
        <w:tc>
          <w:tcPr>
            <w:tcW w:w="1223" w:type="dxa"/>
            <w:tcBorders>
              <w:top w:val="nil"/>
              <w:left w:val="nil"/>
              <w:bottom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9</w:t>
            </w:r>
            <w:r w:rsidR="00B7474F" w:rsidRPr="00015090">
              <w:rPr>
                <w:rFonts w:ascii="Arial" w:eastAsiaTheme="minorHAnsi" w:hAnsi="Arial" w:cstheme="minorBidi"/>
                <w:sz w:val="20"/>
                <w:szCs w:val="16"/>
              </w:rPr>
              <w:t>.8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10</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04/20/12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87N, 90E</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1.50</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24.1</w:t>
            </w:r>
          </w:p>
        </w:tc>
        <w:tc>
          <w:tcPr>
            <w:tcW w:w="1223" w:type="dxa"/>
            <w:tcBorders>
              <w:top w:val="nil"/>
              <w:left w:val="nil"/>
              <w:bottom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9</w:t>
            </w:r>
            <w:r w:rsidR="00B7474F" w:rsidRPr="00015090">
              <w:rPr>
                <w:rFonts w:ascii="Arial" w:eastAsiaTheme="minorHAnsi" w:hAnsi="Arial" w:cstheme="minorBidi"/>
                <w:sz w:val="20"/>
                <w:szCs w:val="16"/>
              </w:rPr>
              <w:t>.8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11</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04/20/12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88N, 90E</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1.00</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21.4</w:t>
            </w:r>
          </w:p>
        </w:tc>
        <w:tc>
          <w:tcPr>
            <w:tcW w:w="1223" w:type="dxa"/>
            <w:tcBorders>
              <w:top w:val="nil"/>
              <w:left w:val="nil"/>
              <w:bottom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9</w:t>
            </w:r>
            <w:r w:rsidR="00B7474F" w:rsidRPr="00015090">
              <w:rPr>
                <w:rFonts w:ascii="Arial" w:eastAsiaTheme="minorHAnsi" w:hAnsi="Arial" w:cstheme="minorBidi"/>
                <w:sz w:val="20"/>
                <w:szCs w:val="16"/>
              </w:rPr>
              <w:t>.8</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Yes</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04/21/12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Brno 3</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1.50</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223" w:type="dxa"/>
            <w:tcBorders>
              <w:top w:val="nil"/>
              <w:left w:val="nil"/>
              <w:bottom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3.00</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No</w:t>
            </w:r>
          </w:p>
        </w:tc>
      </w:tr>
      <w:tr w:rsidR="00B7474F" w:rsidRPr="00822E20">
        <w:trPr>
          <w:trHeight w:val="340"/>
        </w:trPr>
        <w:tc>
          <w:tcPr>
            <w:tcW w:w="650" w:type="dxa"/>
            <w:tcBorders>
              <w:top w:val="nil"/>
              <w:left w:val="single" w:sz="4" w:space="0" w:color="auto"/>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13</w:t>
            </w:r>
          </w:p>
        </w:tc>
        <w:tc>
          <w:tcPr>
            <w:tcW w:w="995"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04/22/12</w:t>
            </w:r>
          </w:p>
        </w:tc>
        <w:tc>
          <w:tcPr>
            <w:tcW w:w="1200"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NP</w:t>
            </w:r>
          </w:p>
        </w:tc>
        <w:tc>
          <w:tcPr>
            <w:tcW w:w="1079"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1.00</w:t>
            </w:r>
          </w:p>
        </w:tc>
        <w:tc>
          <w:tcPr>
            <w:tcW w:w="97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223" w:type="dxa"/>
            <w:tcBorders>
              <w:top w:val="nil"/>
              <w:left w:val="nil"/>
              <w:bottom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3</w:t>
            </w:r>
            <w:r w:rsidR="00B7474F" w:rsidRPr="00015090">
              <w:rPr>
                <w:rFonts w:ascii="Arial" w:eastAsiaTheme="minorHAnsi" w:hAnsi="Arial" w:cstheme="minorBidi"/>
                <w:sz w:val="20"/>
                <w:szCs w:val="16"/>
              </w:rPr>
              <w:t>.00</w:t>
            </w:r>
          </w:p>
        </w:tc>
        <w:tc>
          <w:tcPr>
            <w:tcW w:w="1328" w:type="dxa"/>
            <w:tcBorders>
              <w:top w:val="nil"/>
              <w:left w:val="nil"/>
              <w:bottom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bottom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No</w:t>
            </w:r>
          </w:p>
        </w:tc>
      </w:tr>
      <w:tr w:rsidR="00B7474F" w:rsidRPr="00822E20">
        <w:trPr>
          <w:trHeight w:val="340"/>
        </w:trPr>
        <w:tc>
          <w:tcPr>
            <w:tcW w:w="650" w:type="dxa"/>
            <w:tcBorders>
              <w:top w:val="nil"/>
              <w:left w:val="single" w:sz="4" w:space="0" w:color="auto"/>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14</w:t>
            </w:r>
          </w:p>
        </w:tc>
        <w:tc>
          <w:tcPr>
            <w:tcW w:w="995"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04/22/12</w:t>
            </w:r>
          </w:p>
        </w:tc>
        <w:tc>
          <w:tcPr>
            <w:tcW w:w="1200"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89N, 90E</w:t>
            </w:r>
          </w:p>
        </w:tc>
        <w:tc>
          <w:tcPr>
            <w:tcW w:w="1079"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1.50</w:t>
            </w:r>
          </w:p>
        </w:tc>
        <w:tc>
          <w:tcPr>
            <w:tcW w:w="978"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223" w:type="dxa"/>
            <w:tcBorders>
              <w:top w:val="nil"/>
              <w:left w:val="nil"/>
              <w:right w:val="nil"/>
            </w:tcBorders>
            <w:shd w:val="clear" w:color="auto" w:fill="auto"/>
            <w:noWrap/>
            <w:vAlign w:val="bottom"/>
          </w:tcPr>
          <w:p w:rsidR="00B7474F" w:rsidRPr="00015090" w:rsidRDefault="004852F8" w:rsidP="00822E20">
            <w:pPr>
              <w:jc w:val="center"/>
              <w:rPr>
                <w:rFonts w:ascii="Arial" w:eastAsiaTheme="minorHAnsi" w:hAnsi="Arial" w:cstheme="minorBidi"/>
                <w:sz w:val="20"/>
                <w:szCs w:val="16"/>
              </w:rPr>
            </w:pPr>
            <w:r>
              <w:rPr>
                <w:rFonts w:ascii="Arial" w:eastAsiaTheme="minorHAnsi" w:hAnsi="Arial" w:cstheme="minorBidi"/>
                <w:sz w:val="20"/>
                <w:szCs w:val="16"/>
              </w:rPr>
              <w:t>3</w:t>
            </w:r>
            <w:r w:rsidR="00B7474F" w:rsidRPr="00015090">
              <w:rPr>
                <w:rFonts w:ascii="Arial" w:eastAsiaTheme="minorHAnsi" w:hAnsi="Arial" w:cstheme="minorBidi"/>
                <w:sz w:val="20"/>
                <w:szCs w:val="16"/>
              </w:rPr>
              <w:t>.00</w:t>
            </w:r>
          </w:p>
        </w:tc>
        <w:tc>
          <w:tcPr>
            <w:tcW w:w="1328" w:type="dxa"/>
            <w:tcBorders>
              <w:top w:val="nil"/>
              <w:left w:val="nil"/>
              <w:right w:val="nil"/>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up</w:t>
            </w:r>
          </w:p>
        </w:tc>
        <w:tc>
          <w:tcPr>
            <w:tcW w:w="1128" w:type="dxa"/>
            <w:tcBorders>
              <w:top w:val="nil"/>
              <w:left w:val="nil"/>
              <w:right w:val="single" w:sz="4" w:space="0" w:color="auto"/>
            </w:tcBorders>
            <w:shd w:val="clear" w:color="auto" w:fill="auto"/>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No</w:t>
            </w:r>
          </w:p>
        </w:tc>
      </w:tr>
      <w:tr w:rsidR="00B7474F" w:rsidRPr="00822E20">
        <w:trPr>
          <w:trHeight w:val="340"/>
        </w:trPr>
        <w:tc>
          <w:tcPr>
            <w:tcW w:w="650" w:type="dxa"/>
            <w:tcBorders>
              <w:top w:val="nil"/>
              <w:left w:val="single" w:sz="4" w:space="0" w:color="auto"/>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12b</w:t>
            </w:r>
            <w:r w:rsidRPr="00015090">
              <w:rPr>
                <w:rFonts w:ascii="Arial" w:eastAsiaTheme="minorHAnsi" w:hAnsi="Arial" w:cstheme="minorBidi"/>
                <w:sz w:val="20"/>
                <w:szCs w:val="16"/>
                <w:vertAlign w:val="superscript"/>
              </w:rPr>
              <w:t>*</w:t>
            </w:r>
          </w:p>
        </w:tc>
        <w:tc>
          <w:tcPr>
            <w:tcW w:w="995"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4/21/12</w:t>
            </w:r>
          </w:p>
        </w:tc>
        <w:tc>
          <w:tcPr>
            <w:tcW w:w="1200" w:type="dxa"/>
            <w:tcBorders>
              <w:top w:val="nil"/>
              <w:left w:val="nil"/>
              <w:bottom w:val="nil"/>
              <w:right w:val="nil"/>
            </w:tcBorders>
            <w:shd w:val="clear" w:color="auto" w:fill="CCCCCC"/>
            <w:noWrap/>
            <w:vAlign w:val="bottom"/>
          </w:tcPr>
          <w:p w:rsidR="00B7474F" w:rsidRPr="00015090" w:rsidRDefault="00B7474F" w:rsidP="00B7474F">
            <w:pPr>
              <w:jc w:val="center"/>
              <w:rPr>
                <w:rFonts w:ascii="Arial" w:eastAsiaTheme="minorHAnsi" w:hAnsi="Arial" w:cstheme="minorBidi"/>
                <w:sz w:val="20"/>
                <w:szCs w:val="16"/>
              </w:rPr>
            </w:pPr>
            <w:r w:rsidRPr="00015090">
              <w:rPr>
                <w:rFonts w:ascii="Arial" w:eastAsiaTheme="minorHAnsi" w:hAnsi="Arial" w:cstheme="minorBidi"/>
                <w:sz w:val="20"/>
                <w:szCs w:val="16"/>
              </w:rPr>
              <w:t>Brno 3</w:t>
            </w:r>
          </w:p>
        </w:tc>
        <w:tc>
          <w:tcPr>
            <w:tcW w:w="1079"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1.25</w:t>
            </w:r>
          </w:p>
        </w:tc>
        <w:tc>
          <w:tcPr>
            <w:tcW w:w="978"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223"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328"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down</w:t>
            </w:r>
          </w:p>
        </w:tc>
        <w:tc>
          <w:tcPr>
            <w:tcW w:w="1128" w:type="dxa"/>
            <w:tcBorders>
              <w:top w:val="nil"/>
              <w:left w:val="nil"/>
              <w:bottom w:val="nil"/>
              <w:right w:val="single" w:sz="4" w:space="0" w:color="auto"/>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No</w:t>
            </w:r>
          </w:p>
        </w:tc>
      </w:tr>
      <w:tr w:rsidR="00B7474F" w:rsidRPr="00822E20">
        <w:trPr>
          <w:trHeight w:val="340"/>
        </w:trPr>
        <w:tc>
          <w:tcPr>
            <w:tcW w:w="650" w:type="dxa"/>
            <w:tcBorders>
              <w:top w:val="nil"/>
              <w:left w:val="single" w:sz="4" w:space="0" w:color="auto"/>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13b</w:t>
            </w:r>
            <w:r w:rsidRPr="00015090">
              <w:rPr>
                <w:rFonts w:ascii="Arial" w:eastAsiaTheme="minorHAnsi" w:hAnsi="Arial" w:cstheme="minorBidi"/>
                <w:sz w:val="20"/>
                <w:szCs w:val="16"/>
                <w:vertAlign w:val="superscript"/>
              </w:rPr>
              <w:t>*</w:t>
            </w:r>
          </w:p>
        </w:tc>
        <w:tc>
          <w:tcPr>
            <w:tcW w:w="995"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4/22/12</w:t>
            </w:r>
          </w:p>
        </w:tc>
        <w:tc>
          <w:tcPr>
            <w:tcW w:w="1200"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NP</w:t>
            </w:r>
          </w:p>
        </w:tc>
        <w:tc>
          <w:tcPr>
            <w:tcW w:w="1079"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1.00</w:t>
            </w:r>
          </w:p>
        </w:tc>
        <w:tc>
          <w:tcPr>
            <w:tcW w:w="978"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223"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328" w:type="dxa"/>
            <w:tcBorders>
              <w:top w:val="nil"/>
              <w:left w:val="nil"/>
              <w:bottom w:val="nil"/>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down</w:t>
            </w:r>
          </w:p>
        </w:tc>
        <w:tc>
          <w:tcPr>
            <w:tcW w:w="1128" w:type="dxa"/>
            <w:tcBorders>
              <w:top w:val="nil"/>
              <w:left w:val="nil"/>
              <w:bottom w:val="nil"/>
              <w:right w:val="single" w:sz="4" w:space="0" w:color="auto"/>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No</w:t>
            </w:r>
          </w:p>
        </w:tc>
      </w:tr>
      <w:tr w:rsidR="00B7474F" w:rsidRPr="00822E20">
        <w:trPr>
          <w:trHeight w:val="340"/>
        </w:trPr>
        <w:tc>
          <w:tcPr>
            <w:tcW w:w="650" w:type="dxa"/>
            <w:tcBorders>
              <w:top w:val="nil"/>
              <w:left w:val="single" w:sz="4" w:space="0" w:color="auto"/>
              <w:bottom w:val="single" w:sz="4" w:space="0" w:color="auto"/>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14b</w:t>
            </w:r>
            <w:r w:rsidRPr="00015090">
              <w:rPr>
                <w:rFonts w:ascii="Arial" w:eastAsiaTheme="minorHAnsi" w:hAnsi="Arial" w:cstheme="minorBidi"/>
                <w:sz w:val="20"/>
                <w:szCs w:val="16"/>
                <w:vertAlign w:val="superscript"/>
              </w:rPr>
              <w:t>*</w:t>
            </w:r>
          </w:p>
        </w:tc>
        <w:tc>
          <w:tcPr>
            <w:tcW w:w="995" w:type="dxa"/>
            <w:tcBorders>
              <w:top w:val="nil"/>
              <w:left w:val="nil"/>
              <w:bottom w:val="single" w:sz="4" w:space="0" w:color="auto"/>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4/22/12</w:t>
            </w:r>
          </w:p>
        </w:tc>
        <w:tc>
          <w:tcPr>
            <w:tcW w:w="1200" w:type="dxa"/>
            <w:tcBorders>
              <w:top w:val="nil"/>
              <w:left w:val="nil"/>
              <w:bottom w:val="single" w:sz="4" w:space="0" w:color="auto"/>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89N, 90E</w:t>
            </w:r>
          </w:p>
        </w:tc>
        <w:tc>
          <w:tcPr>
            <w:tcW w:w="1079" w:type="dxa"/>
            <w:tcBorders>
              <w:top w:val="nil"/>
              <w:left w:val="nil"/>
              <w:bottom w:val="single" w:sz="4" w:space="0" w:color="auto"/>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1.25</w:t>
            </w:r>
          </w:p>
        </w:tc>
        <w:tc>
          <w:tcPr>
            <w:tcW w:w="978" w:type="dxa"/>
            <w:tcBorders>
              <w:top w:val="nil"/>
              <w:left w:val="nil"/>
              <w:bottom w:val="single" w:sz="4" w:space="0" w:color="auto"/>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223" w:type="dxa"/>
            <w:tcBorders>
              <w:top w:val="nil"/>
              <w:left w:val="nil"/>
              <w:bottom w:val="single" w:sz="4" w:space="0" w:color="auto"/>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0.00</w:t>
            </w:r>
          </w:p>
        </w:tc>
        <w:tc>
          <w:tcPr>
            <w:tcW w:w="1328" w:type="dxa"/>
            <w:tcBorders>
              <w:top w:val="nil"/>
              <w:left w:val="nil"/>
              <w:bottom w:val="single" w:sz="4" w:space="0" w:color="auto"/>
              <w:right w:val="nil"/>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down</w:t>
            </w:r>
          </w:p>
        </w:tc>
        <w:tc>
          <w:tcPr>
            <w:tcW w:w="1128" w:type="dxa"/>
            <w:tcBorders>
              <w:top w:val="nil"/>
              <w:left w:val="nil"/>
              <w:bottom w:val="single" w:sz="4" w:space="0" w:color="auto"/>
              <w:right w:val="single" w:sz="4" w:space="0" w:color="auto"/>
            </w:tcBorders>
            <w:shd w:val="clear" w:color="auto" w:fill="CCCCCC"/>
            <w:noWrap/>
            <w:vAlign w:val="bottom"/>
          </w:tcPr>
          <w:p w:rsidR="00B7474F" w:rsidRPr="00015090" w:rsidRDefault="00B7474F" w:rsidP="00822E20">
            <w:pPr>
              <w:jc w:val="center"/>
              <w:rPr>
                <w:rFonts w:ascii="Arial" w:eastAsiaTheme="minorHAnsi" w:hAnsi="Arial" w:cstheme="minorBidi"/>
                <w:sz w:val="20"/>
                <w:szCs w:val="16"/>
              </w:rPr>
            </w:pPr>
            <w:r w:rsidRPr="00015090">
              <w:rPr>
                <w:rFonts w:ascii="Arial" w:eastAsiaTheme="minorHAnsi" w:hAnsi="Arial" w:cstheme="minorBidi"/>
                <w:sz w:val="20"/>
                <w:szCs w:val="16"/>
              </w:rPr>
              <w:t>No</w:t>
            </w:r>
          </w:p>
        </w:tc>
      </w:tr>
    </w:tbl>
    <w:p w:rsidR="00EA56A8" w:rsidRPr="00731BC7" w:rsidRDefault="00EA56A8" w:rsidP="00120064">
      <w:pPr>
        <w:rPr>
          <w:color w:val="000000"/>
          <w:sz w:val="20"/>
        </w:rPr>
      </w:pPr>
      <w:r w:rsidRPr="00731BC7">
        <w:rPr>
          <w:color w:val="000000"/>
          <w:sz w:val="20"/>
          <w:vertAlign w:val="superscript"/>
        </w:rPr>
        <w:t>*</w:t>
      </w:r>
      <w:r w:rsidRPr="00731BC7">
        <w:rPr>
          <w:color w:val="000000"/>
          <w:sz w:val="20"/>
        </w:rPr>
        <w:t>The final three casts were repeated using a different CTD-O</w:t>
      </w:r>
      <w:r w:rsidRPr="005F366B">
        <w:rPr>
          <w:color w:val="000000"/>
          <w:sz w:val="20"/>
          <w:vertAlign w:val="subscript"/>
        </w:rPr>
        <w:t>2</w:t>
      </w:r>
      <w:r w:rsidRPr="00731BC7">
        <w:rPr>
          <w:color w:val="000000"/>
          <w:sz w:val="20"/>
        </w:rPr>
        <w:t xml:space="preserve"> package</w:t>
      </w:r>
      <w:r w:rsidR="00731BC7" w:rsidRPr="00731BC7">
        <w:rPr>
          <w:color w:val="000000"/>
          <w:sz w:val="20"/>
        </w:rPr>
        <w:t xml:space="preserve"> (4000-1406).</w:t>
      </w:r>
    </w:p>
    <w:p w:rsidR="00120064" w:rsidRDefault="00120064" w:rsidP="00120064"/>
    <w:p w:rsidR="00A115EA" w:rsidRDefault="008941AD" w:rsidP="00A115EA">
      <w:r>
        <w:tab/>
      </w:r>
      <w:r w:rsidR="00120064">
        <w:t>Details regarding ISUS data processing have been previously reported in Alkire et al. (2010).  Here the data processing steps are briefly described.  Since the ISUS does not record pressure or external temperature, the separate ISUS and CTD casts were mer</w:t>
      </w:r>
      <w:r w:rsidR="008F33D1">
        <w:t>ged after collection using the</w:t>
      </w:r>
      <w:r w:rsidR="00120064">
        <w:t xml:space="preserve"> respective internal timestamps of their first data record.  This synchronization did not include the advance in time required to account for the lag in nitrate data due to the time it took the seawater to flow from the intake of the CTD sensors to the ISUS sample volume.</w:t>
      </w:r>
      <w:r w:rsidR="00A115EA">
        <w:t xml:space="preserve">  </w:t>
      </w:r>
      <w:r w:rsidR="00687974">
        <w:t>When the seawater inflow to the ISUS is plumbed to the outflow of the CTD-O</w:t>
      </w:r>
      <w:r w:rsidR="00687974" w:rsidRPr="00687974">
        <w:rPr>
          <w:vertAlign w:val="subscript"/>
        </w:rPr>
        <w:t>2</w:t>
      </w:r>
      <w:r w:rsidR="00687974">
        <w:t xml:space="preserve"> package, t</w:t>
      </w:r>
      <w:r w:rsidR="00A115EA" w:rsidRPr="00827DCE">
        <w:t xml:space="preserve">he </w:t>
      </w:r>
      <w:r w:rsidR="00A115EA">
        <w:t>optical probe of the ISUS</w:t>
      </w:r>
      <w:r w:rsidR="00A115EA" w:rsidRPr="00827DCE">
        <w:t xml:space="preserve"> is located downstream</w:t>
      </w:r>
      <w:r w:rsidR="00687974">
        <w:t xml:space="preserve"> (and above)</w:t>
      </w:r>
      <w:r w:rsidR="00A115EA" w:rsidRPr="00827DCE">
        <w:t xml:space="preserve"> </w:t>
      </w:r>
      <w:r w:rsidR="00A115EA">
        <w:t xml:space="preserve">both </w:t>
      </w:r>
      <w:r w:rsidR="00A115EA" w:rsidRPr="00827DCE">
        <w:t xml:space="preserve">the </w:t>
      </w:r>
      <w:proofErr w:type="spellStart"/>
      <w:r w:rsidR="00A115EA">
        <w:t>thermistor</w:t>
      </w:r>
      <w:proofErr w:type="spellEnd"/>
      <w:r w:rsidR="00A115EA">
        <w:t xml:space="preserve"> and SBE43 oxygen sensor</w:t>
      </w:r>
      <w:r w:rsidR="00A115EA" w:rsidRPr="00827DCE">
        <w:t xml:space="preserve">.  For this reason, the </w:t>
      </w:r>
      <w:r w:rsidR="00687974">
        <w:t>ISUS data record</w:t>
      </w:r>
      <w:r w:rsidR="00A115EA" w:rsidRPr="00827DCE">
        <w:t xml:space="preserve"> must be advanced relative to pressure such that the </w:t>
      </w:r>
      <w:r w:rsidR="00687974">
        <w:t>NO</w:t>
      </w:r>
      <w:r w:rsidR="00687974" w:rsidRPr="00687974">
        <w:rPr>
          <w:vertAlign w:val="subscript"/>
        </w:rPr>
        <w:t xml:space="preserve">3 </w:t>
      </w:r>
      <w:r w:rsidR="00687974">
        <w:t>measurements</w:t>
      </w:r>
      <w:r w:rsidR="00A115EA" w:rsidRPr="00827DCE">
        <w:t xml:space="preserve"> corr</w:t>
      </w:r>
      <w:r w:rsidR="00687974">
        <w:t xml:space="preserve">espond with the temperature, </w:t>
      </w:r>
      <w:r w:rsidR="00A115EA" w:rsidRPr="00827DCE">
        <w:t>conductivity</w:t>
      </w:r>
      <w:r w:rsidR="00687974">
        <w:t>, and oxygen</w:t>
      </w:r>
      <w:r w:rsidR="00A115EA" w:rsidRPr="00827DCE">
        <w:t xml:space="preserve"> </w:t>
      </w:r>
      <w:r w:rsidR="00A115EA">
        <w:t xml:space="preserve">measurements </w:t>
      </w:r>
      <w:r w:rsidR="00A115EA" w:rsidRPr="00827DCE">
        <w:t xml:space="preserve">recorded by the </w:t>
      </w:r>
      <w:r w:rsidR="00A115EA">
        <w:t>CTD for the same water volume</w:t>
      </w:r>
      <w:r w:rsidR="00A115EA" w:rsidRPr="00827DCE">
        <w:t>.</w:t>
      </w:r>
      <w:r w:rsidR="00A115EA">
        <w:t xml:space="preserve">  As noted above, h</w:t>
      </w:r>
      <w:r w:rsidR="00A115EA" w:rsidRPr="00827DCE">
        <w:t xml:space="preserve">ysteresis of temperature versus pressure is commonly observed when comparing downcasts and </w:t>
      </w:r>
      <w:proofErr w:type="spellStart"/>
      <w:r w:rsidR="00A115EA" w:rsidRPr="00827DCE">
        <w:t>upcasts</w:t>
      </w:r>
      <w:proofErr w:type="spellEnd"/>
      <w:r w:rsidR="00A115EA">
        <w:t xml:space="preserve">.  </w:t>
      </w:r>
      <w:r w:rsidR="00A115EA" w:rsidRPr="00827DCE">
        <w:t>This can result from a</w:t>
      </w:r>
      <w:r w:rsidR="00A115EA">
        <w:t xml:space="preserve"> combination of factors</w:t>
      </w:r>
      <w:r w:rsidR="00A115EA" w:rsidRPr="00827DCE">
        <w:t xml:space="preserve"> such as </w:t>
      </w:r>
      <w:r w:rsidR="00A115EA">
        <w:t xml:space="preserve">the </w:t>
      </w:r>
      <w:r w:rsidR="00A115EA" w:rsidRPr="00827DCE">
        <w:t>wake eff</w:t>
      </w:r>
      <w:r w:rsidR="00A115EA">
        <w:t>ect and internal waves that may</w:t>
      </w:r>
      <w:r w:rsidR="00A115EA" w:rsidRPr="00827DCE">
        <w:t xml:space="preserve"> vary from cast to cast.</w:t>
      </w:r>
    </w:p>
    <w:p w:rsidR="00A115EA" w:rsidRDefault="00A115EA" w:rsidP="00A115EA">
      <w:r>
        <w:tab/>
        <w:t xml:space="preserve">The optimal advance was determined by visually aligning features exhibited in the temperature profiles (e.g., minima and/or maxima) between the downcast and </w:t>
      </w:r>
      <w:proofErr w:type="spellStart"/>
      <w:r>
        <w:t>upcast</w:t>
      </w:r>
      <w:proofErr w:type="spellEnd"/>
      <w:r>
        <w:t xml:space="preserve">.  For each iteration, the combined data record (downcast and </w:t>
      </w:r>
      <w:proofErr w:type="spellStart"/>
      <w:r>
        <w:t>upcast</w:t>
      </w:r>
      <w:proofErr w:type="spellEnd"/>
      <w:r>
        <w:t xml:space="preserve">) was advanced between -10 and +10 seconds (in 0.25 second intervals) and the separate downcast and </w:t>
      </w:r>
      <w:proofErr w:type="spellStart"/>
      <w:r>
        <w:t>upcast</w:t>
      </w:r>
      <w:proofErr w:type="spellEnd"/>
      <w:r>
        <w:t xml:space="preserve"> profiles plotted against pressure.  The advancement resulting in the best alignment was selected be eye and chosen as the optimal advance.  In some cases visual alignment was difficult due to a lack of prominent features in the temperature record.  Whenever this occurred, successive differences (i.e., T</w:t>
      </w:r>
      <w:r w:rsidRPr="00931EB8">
        <w:rPr>
          <w:vertAlign w:val="subscript"/>
        </w:rPr>
        <w:t>i</w:t>
      </w:r>
      <w:r>
        <w:t xml:space="preserve"> – T</w:t>
      </w:r>
      <w:r w:rsidRPr="00931EB8">
        <w:rPr>
          <w:vertAlign w:val="subscript"/>
        </w:rPr>
        <w:t>i-1</w:t>
      </w:r>
      <w:r>
        <w:t xml:space="preserve">) were plotted versus pressure.  Peaks in these differences, representing sudden large changes in temperature (e.g., </w:t>
      </w:r>
      <w:proofErr w:type="spellStart"/>
      <w:r>
        <w:t>thermocline</w:t>
      </w:r>
      <w:proofErr w:type="spellEnd"/>
      <w:r>
        <w:t xml:space="preserve">, transition between layers of relatively warm and cold waters) were visually aligned to determine the optimum advance.  Comparisons of these two methods consistently returned similar results.  </w:t>
      </w:r>
      <w:r w:rsidRPr="00827DCE">
        <w:t xml:space="preserve">An </w:t>
      </w:r>
      <w:r>
        <w:t xml:space="preserve">identical </w:t>
      </w:r>
      <w:r w:rsidRPr="00827DCE">
        <w:t>proc</w:t>
      </w:r>
      <w:r>
        <w:t xml:space="preserve">edure was applied to the </w:t>
      </w:r>
      <w:r w:rsidR="00687974">
        <w:t>ISUS  data,</w:t>
      </w:r>
      <w:r w:rsidRPr="00827DCE">
        <w:t xml:space="preserve"> resulting in the coincidence of the downcast and </w:t>
      </w:r>
      <w:proofErr w:type="spellStart"/>
      <w:r w:rsidRPr="00827DCE">
        <w:t>upcast</w:t>
      </w:r>
      <w:proofErr w:type="spellEnd"/>
      <w:r w:rsidRPr="00827DCE">
        <w:t xml:space="preserve"> </w:t>
      </w:r>
      <w:r w:rsidR="00687974">
        <w:t>NO</w:t>
      </w:r>
      <w:r w:rsidR="00687974" w:rsidRPr="00687974">
        <w:rPr>
          <w:vertAlign w:val="subscript"/>
        </w:rPr>
        <w:t>3</w:t>
      </w:r>
      <w:r w:rsidR="00687974">
        <w:rPr>
          <w:vertAlign w:val="subscript"/>
        </w:rPr>
        <w:t xml:space="preserve"> </w:t>
      </w:r>
      <w:r w:rsidRPr="00827DCE">
        <w:t>concentrations for eac</w:t>
      </w:r>
      <w:r>
        <w:t xml:space="preserve">h cast.  The determined advances for temperature and </w:t>
      </w:r>
      <w:r w:rsidR="00687974">
        <w:t>N</w:t>
      </w:r>
      <w:r>
        <w:t>O</w:t>
      </w:r>
      <w:r w:rsidR="00687974">
        <w:rPr>
          <w:vertAlign w:val="subscript"/>
        </w:rPr>
        <w:t>3</w:t>
      </w:r>
      <w:r>
        <w:t xml:space="preserve"> are listed in Table 1.</w:t>
      </w:r>
    </w:p>
    <w:p w:rsidR="00237470" w:rsidRDefault="00A115EA" w:rsidP="00120064">
      <w:r>
        <w:tab/>
        <w:t xml:space="preserve">In principle, the </w:t>
      </w:r>
      <w:r w:rsidR="00687974">
        <w:t>ISUS measurements</w:t>
      </w:r>
      <w:r w:rsidRPr="00827DCE">
        <w:t xml:space="preserve"> are subject to the same advance</w:t>
      </w:r>
      <w:r>
        <w:t xml:space="preserve"> (wake effect plus internal waves)</w:t>
      </w:r>
      <w:r w:rsidRPr="00827DCE">
        <w:t xml:space="preserve"> as the temperature plus </w:t>
      </w:r>
      <w:r>
        <w:t>an</w:t>
      </w:r>
      <w:r w:rsidRPr="00827DCE">
        <w:t xml:space="preserve"> additional </w:t>
      </w:r>
      <w:r>
        <w:t>advance</w:t>
      </w:r>
      <w:r w:rsidRPr="00827DCE">
        <w:t xml:space="preserve"> that accounts for the </w:t>
      </w:r>
      <w:r>
        <w:t xml:space="preserve">lag time between temperature and </w:t>
      </w:r>
      <w:r w:rsidR="00687974">
        <w:t>N</w:t>
      </w:r>
      <w:r>
        <w:t>O</w:t>
      </w:r>
      <w:r w:rsidR="00687974">
        <w:rPr>
          <w:vertAlign w:val="subscript"/>
        </w:rPr>
        <w:t>3</w:t>
      </w:r>
      <w:r>
        <w:t xml:space="preserve"> measurements resulting from the physical separation between the sensors</w:t>
      </w:r>
      <w:r w:rsidRPr="00827DCE">
        <w:t xml:space="preserve">.  Therefore, the </w:t>
      </w:r>
      <w:r w:rsidRPr="004852F8">
        <w:rPr>
          <w:b/>
          <w:u w:val="single"/>
        </w:rPr>
        <w:t xml:space="preserve">advance applied to the </w:t>
      </w:r>
      <w:r w:rsidR="00687974" w:rsidRPr="004852F8">
        <w:rPr>
          <w:b/>
          <w:u w:val="single"/>
        </w:rPr>
        <w:t xml:space="preserve">ISUS </w:t>
      </w:r>
      <w:r w:rsidRPr="004852F8">
        <w:rPr>
          <w:b/>
          <w:u w:val="single"/>
        </w:rPr>
        <w:t>data</w:t>
      </w:r>
      <w:r w:rsidR="006D261E">
        <w:rPr>
          <w:b/>
          <w:u w:val="single"/>
        </w:rPr>
        <w:t xml:space="preserve"> for Casts 1-5</w:t>
      </w:r>
      <w:r w:rsidRPr="004852F8">
        <w:rPr>
          <w:b/>
          <w:u w:val="single"/>
        </w:rPr>
        <w:t xml:space="preserve"> was equal to the difference between the </w:t>
      </w:r>
      <w:r w:rsidR="004852F8">
        <w:rPr>
          <w:b/>
          <w:u w:val="single"/>
        </w:rPr>
        <w:t>mean N</w:t>
      </w:r>
      <w:r w:rsidRPr="004852F8">
        <w:rPr>
          <w:b/>
          <w:u w:val="single"/>
        </w:rPr>
        <w:t>O</w:t>
      </w:r>
      <w:r w:rsidR="004852F8">
        <w:rPr>
          <w:b/>
          <w:u w:val="single"/>
          <w:vertAlign w:val="subscript"/>
        </w:rPr>
        <w:t>3</w:t>
      </w:r>
      <w:r w:rsidRPr="004852F8">
        <w:rPr>
          <w:b/>
          <w:u w:val="single"/>
        </w:rPr>
        <w:t xml:space="preserve"> advance</w:t>
      </w:r>
      <w:r w:rsidR="00687974" w:rsidRPr="004852F8">
        <w:rPr>
          <w:b/>
          <w:u w:val="single"/>
        </w:rPr>
        <w:t xml:space="preserve"> minus the </w:t>
      </w:r>
      <w:r w:rsidR="004852F8">
        <w:rPr>
          <w:b/>
          <w:u w:val="single"/>
        </w:rPr>
        <w:t xml:space="preserve">mean </w:t>
      </w:r>
      <w:r w:rsidR="00687974" w:rsidRPr="004852F8">
        <w:rPr>
          <w:b/>
          <w:u w:val="single"/>
        </w:rPr>
        <w:t>temperature advance</w:t>
      </w:r>
      <w:r w:rsidR="004852F8">
        <w:rPr>
          <w:b/>
          <w:u w:val="single"/>
        </w:rPr>
        <w:t>:  8.3 – 1.5 = 6.8 sec</w:t>
      </w:r>
      <w:r w:rsidR="00687974" w:rsidRPr="004852F8">
        <w:rPr>
          <w:b/>
          <w:u w:val="single"/>
        </w:rPr>
        <w:t>.  However,</w:t>
      </w:r>
      <w:r w:rsidR="00687974" w:rsidRPr="004852F8">
        <w:t xml:space="preserve"> </w:t>
      </w:r>
      <w:r w:rsidR="00687974" w:rsidRPr="004852F8">
        <w:rPr>
          <w:rFonts w:cs="Arial"/>
          <w:szCs w:val="20"/>
        </w:rPr>
        <w:t xml:space="preserve">for </w:t>
      </w:r>
      <w:r w:rsidR="00687974" w:rsidRPr="00F20D6D">
        <w:rPr>
          <w:rFonts w:cs="Arial"/>
          <w:szCs w:val="20"/>
        </w:rPr>
        <w:t>stations where the</w:t>
      </w:r>
      <w:r w:rsidR="00687974">
        <w:rPr>
          <w:rFonts w:cs="Arial"/>
          <w:szCs w:val="20"/>
        </w:rPr>
        <w:t xml:space="preserve"> downcast data were compromised (further details given in the next section),</w:t>
      </w:r>
      <w:r w:rsidR="00687974" w:rsidRPr="00F20D6D">
        <w:rPr>
          <w:rFonts w:cs="Arial"/>
          <w:szCs w:val="20"/>
        </w:rPr>
        <w:t xml:space="preserve"> the </w:t>
      </w:r>
      <w:proofErr w:type="spellStart"/>
      <w:r w:rsidR="00687974" w:rsidRPr="00F20D6D">
        <w:rPr>
          <w:rFonts w:cs="Arial"/>
          <w:szCs w:val="20"/>
        </w:rPr>
        <w:t>upcast</w:t>
      </w:r>
      <w:proofErr w:type="spellEnd"/>
      <w:r w:rsidR="00687974" w:rsidRPr="00F20D6D">
        <w:rPr>
          <w:rFonts w:cs="Arial"/>
          <w:szCs w:val="20"/>
        </w:rPr>
        <w:t xml:space="preserve"> </w:t>
      </w:r>
      <w:r w:rsidR="00687974">
        <w:rPr>
          <w:rFonts w:cs="Arial"/>
          <w:szCs w:val="20"/>
        </w:rPr>
        <w:t>data were</w:t>
      </w:r>
      <w:r w:rsidR="00687974" w:rsidRPr="00F20D6D">
        <w:rPr>
          <w:rFonts w:cs="Arial"/>
          <w:szCs w:val="20"/>
        </w:rPr>
        <w:t xml:space="preserve"> </w:t>
      </w:r>
      <w:r w:rsidR="00687974">
        <w:rPr>
          <w:rFonts w:cs="Arial"/>
          <w:szCs w:val="20"/>
        </w:rPr>
        <w:t>reported</w:t>
      </w:r>
      <w:r w:rsidR="00687974" w:rsidRPr="00F20D6D">
        <w:rPr>
          <w:rFonts w:cs="Arial"/>
          <w:szCs w:val="20"/>
        </w:rPr>
        <w:t xml:space="preserve"> </w:t>
      </w:r>
      <w:r w:rsidR="00687974">
        <w:rPr>
          <w:rFonts w:cs="Arial"/>
          <w:szCs w:val="20"/>
        </w:rPr>
        <w:t xml:space="preserve">(Casts 6-14).  For these casts, an additional advance was necessary to properly align the data acquired during the </w:t>
      </w:r>
      <w:proofErr w:type="spellStart"/>
      <w:r w:rsidR="00687974">
        <w:rPr>
          <w:rFonts w:cs="Arial"/>
          <w:szCs w:val="20"/>
        </w:rPr>
        <w:t>upcast</w:t>
      </w:r>
      <w:proofErr w:type="spellEnd"/>
      <w:r w:rsidR="00687974">
        <w:rPr>
          <w:rFonts w:cs="Arial"/>
          <w:szCs w:val="20"/>
        </w:rPr>
        <w:t xml:space="preserve"> relative to pressure.  Typically, the movement of the instrument package upward through the water column during the </w:t>
      </w:r>
      <w:proofErr w:type="spellStart"/>
      <w:r w:rsidR="00687974">
        <w:rPr>
          <w:rFonts w:cs="Arial"/>
          <w:szCs w:val="20"/>
        </w:rPr>
        <w:t>upcast</w:t>
      </w:r>
      <w:proofErr w:type="spellEnd"/>
      <w:r w:rsidR="00687974">
        <w:rPr>
          <w:rFonts w:cs="Arial"/>
          <w:szCs w:val="20"/>
        </w:rPr>
        <w:t xml:space="preserve"> results in the displacement of water parcels immediately surrounding the instruments.  This is referred to as the wake effect and results in an offset between data acquired during the downcast versus the </w:t>
      </w:r>
      <w:proofErr w:type="spellStart"/>
      <w:r w:rsidR="00687974">
        <w:rPr>
          <w:rFonts w:cs="Arial"/>
          <w:szCs w:val="20"/>
        </w:rPr>
        <w:t>upcast</w:t>
      </w:r>
      <w:proofErr w:type="spellEnd"/>
      <w:r w:rsidR="00687974">
        <w:rPr>
          <w:rFonts w:cs="Arial"/>
          <w:szCs w:val="20"/>
        </w:rPr>
        <w:t xml:space="preserve"> (relative to pressure).  To correct for this wake effect, the ISUS data were</w:t>
      </w:r>
      <w:r w:rsidR="00687974" w:rsidRPr="00F20D6D">
        <w:rPr>
          <w:rFonts w:cs="Arial"/>
          <w:szCs w:val="20"/>
        </w:rPr>
        <w:t xml:space="preserve"> advanced by </w:t>
      </w:r>
      <w:r w:rsidR="00687974">
        <w:rPr>
          <w:rFonts w:cs="Arial"/>
          <w:szCs w:val="20"/>
        </w:rPr>
        <w:t xml:space="preserve">an additional </w:t>
      </w:r>
      <w:r w:rsidR="00687974" w:rsidRPr="00F20D6D">
        <w:rPr>
          <w:rFonts w:cs="Arial"/>
          <w:szCs w:val="20"/>
        </w:rPr>
        <w:t>3</w:t>
      </w:r>
      <w:r w:rsidR="00687974">
        <w:rPr>
          <w:rFonts w:cs="Arial"/>
          <w:szCs w:val="20"/>
        </w:rPr>
        <w:t>.0</w:t>
      </w:r>
      <w:r w:rsidR="00687974" w:rsidRPr="00F20D6D">
        <w:rPr>
          <w:rFonts w:cs="Arial"/>
          <w:szCs w:val="20"/>
        </w:rPr>
        <w:t xml:space="preserve"> seconds relative to pressure</w:t>
      </w:r>
      <w:r w:rsidR="00687974">
        <w:rPr>
          <w:rFonts w:cs="Arial"/>
          <w:szCs w:val="20"/>
        </w:rPr>
        <w:t xml:space="preserve">.  This advance was computed as 2 x 1.5 sec., where the 1.5 sec. advance was determined as the mean advance necessary to superimpose the downcast and </w:t>
      </w:r>
      <w:proofErr w:type="spellStart"/>
      <w:r w:rsidR="00687974">
        <w:rPr>
          <w:rFonts w:cs="Arial"/>
          <w:szCs w:val="20"/>
        </w:rPr>
        <w:t>upcast</w:t>
      </w:r>
      <w:proofErr w:type="spellEnd"/>
      <w:r w:rsidR="00687974">
        <w:rPr>
          <w:rFonts w:cs="Arial"/>
          <w:szCs w:val="20"/>
        </w:rPr>
        <w:t xml:space="preserve"> temperature records (see Table 1).  This advance is necessary because both the downcast and </w:t>
      </w:r>
      <w:proofErr w:type="spellStart"/>
      <w:r w:rsidR="00687974">
        <w:rPr>
          <w:rFonts w:cs="Arial"/>
          <w:szCs w:val="20"/>
        </w:rPr>
        <w:t>upcast</w:t>
      </w:r>
      <w:proofErr w:type="spellEnd"/>
      <w:r w:rsidR="00687974">
        <w:rPr>
          <w:rFonts w:cs="Arial"/>
          <w:szCs w:val="20"/>
        </w:rPr>
        <w:t xml:space="preserve"> records are shifted during the calculation of the 1.5 sec. advance.  Therefore, the advance necessary to overlay the </w:t>
      </w:r>
      <w:proofErr w:type="spellStart"/>
      <w:r w:rsidR="00687974">
        <w:rPr>
          <w:rFonts w:cs="Arial"/>
          <w:szCs w:val="20"/>
        </w:rPr>
        <w:t>upcast</w:t>
      </w:r>
      <w:proofErr w:type="spellEnd"/>
      <w:r w:rsidR="00687974">
        <w:rPr>
          <w:rFonts w:cs="Arial"/>
          <w:szCs w:val="20"/>
        </w:rPr>
        <w:t xml:space="preserve"> and the initial downcast (prior to any advancement) is 1.5 + 1.5 = 3.0 seconds.  In other words, the advanced </w:t>
      </w:r>
      <w:proofErr w:type="spellStart"/>
      <w:r w:rsidR="00687974">
        <w:rPr>
          <w:rFonts w:cs="Arial"/>
          <w:szCs w:val="20"/>
        </w:rPr>
        <w:t>upcast</w:t>
      </w:r>
      <w:proofErr w:type="spellEnd"/>
      <w:r w:rsidR="00687974">
        <w:rPr>
          <w:rFonts w:cs="Arial"/>
          <w:szCs w:val="20"/>
        </w:rPr>
        <w:t xml:space="preserve"> data should be aligned (relative to pressure) exactly as the downcast data.</w:t>
      </w:r>
      <w:r w:rsidR="004852F8">
        <w:t xml:space="preserve">  For Casts 6-11, the advance applied to the NO3 data was therefore 6.8 + </w:t>
      </w:r>
      <w:r w:rsidR="006D261E">
        <w:t>3.0 = 9.8 sec.  For Casts 12-14, only the 3.0 sec. advance was applied (no additional advance is necessary because the ISUS inflow was not connected to the CTD-O2 outflow).  For Casts 12b, 13b, and 14b, no advance was applied because the downcast data were reported.</w:t>
      </w:r>
    </w:p>
    <w:p w:rsidR="00237470" w:rsidRPr="00700B67" w:rsidRDefault="00237470" w:rsidP="00237470">
      <w:r>
        <w:tab/>
        <w:t>Following synchronization, the resulting data files were then processed using a program (</w:t>
      </w:r>
      <w:proofErr w:type="spellStart"/>
      <w:r>
        <w:t>ISUSDataProcessor</w:t>
      </w:r>
      <w:proofErr w:type="spellEnd"/>
      <w:r>
        <w:t xml:space="preserve">) developed by Ken Johnson (MBARI), which incorporates salinity and temperature data from the CTD and applies algorithms that correct the spectral data collected by the ISUS for temperature effects on the bromide absorption </w:t>
      </w:r>
      <w:r w:rsidR="00E814B9">
        <w:t>[</w:t>
      </w:r>
      <w:r w:rsidRPr="00E814B9">
        <w:rPr>
          <w:i/>
        </w:rPr>
        <w:t>Sakamoto et al</w:t>
      </w:r>
      <w:r>
        <w:t>., 2009</w:t>
      </w:r>
      <w:r w:rsidR="00E814B9">
        <w:t>]</w:t>
      </w:r>
      <w:r>
        <w:t xml:space="preserve">.  Each nitrate concentration calculated has an associated fit-error (RMS deviation of observed nitrate absorbance from modeled values).  Any concentrations with fit-errors exceeding 0.002 were omitted from the final data files to accommodate known instrumental noise (Ken Johnson, personal communication).  </w:t>
      </w:r>
    </w:p>
    <w:p w:rsidR="009024F8" w:rsidRDefault="00E814B9" w:rsidP="00237470">
      <w:r>
        <w:rPr>
          <w:bCs/>
        </w:rPr>
        <w:tab/>
        <w:t xml:space="preserve">Finally, ISUS-derived NO3 concentrations were compared to those measured from </w:t>
      </w:r>
      <w:r>
        <w:t>s</w:t>
      </w:r>
      <w:r w:rsidR="00237470">
        <w:t xml:space="preserve">eawater samples collected at various depths during each station occupation </w:t>
      </w:r>
      <w:r>
        <w:t xml:space="preserve">using simple linear regression.  Separate regressions were conducted for </w:t>
      </w:r>
      <w:r w:rsidR="009024F8">
        <w:t>the various sets of casts (Table 2).</w:t>
      </w:r>
      <w:r w:rsidR="00D7531E">
        <w:t xml:space="preserve">  The coefficients yielded from the regressions were used to correct the full downcast or </w:t>
      </w:r>
      <w:proofErr w:type="spellStart"/>
      <w:r w:rsidR="00D7531E">
        <w:t>upcast</w:t>
      </w:r>
      <w:proofErr w:type="spellEnd"/>
      <w:r w:rsidR="00D7531E">
        <w:t xml:space="preserve"> profile of the associated ISUS data.  Both “uncorrected” and “corrected” ISUS data are reported in the final data files.</w:t>
      </w:r>
      <w:r w:rsidR="009024F8">
        <w:t xml:space="preserve">  </w:t>
      </w:r>
    </w:p>
    <w:p w:rsidR="009024F8" w:rsidRDefault="009024F8" w:rsidP="00237470"/>
    <w:p w:rsidR="009024F8" w:rsidRPr="009024F8" w:rsidRDefault="009024F8" w:rsidP="00237470">
      <w:pPr>
        <w:rPr>
          <w:sz w:val="20"/>
        </w:rPr>
      </w:pPr>
      <w:r w:rsidRPr="009024F8">
        <w:rPr>
          <w:b/>
          <w:sz w:val="20"/>
        </w:rPr>
        <w:t>Table 2.</w:t>
      </w:r>
      <w:r w:rsidRPr="009024F8">
        <w:rPr>
          <w:sz w:val="20"/>
        </w:rPr>
        <w:t xml:space="preserve"> Regression coefficients derived from simple linear regressions of bottle NO</w:t>
      </w:r>
      <w:r w:rsidRPr="009024F8">
        <w:rPr>
          <w:sz w:val="20"/>
          <w:vertAlign w:val="subscript"/>
        </w:rPr>
        <w:t>3</w:t>
      </w:r>
      <w:r w:rsidRPr="009024F8">
        <w:rPr>
          <w:sz w:val="20"/>
        </w:rPr>
        <w:t xml:space="preserve"> concentrations (</w:t>
      </w:r>
      <w:r w:rsidRPr="00D7531E">
        <w:rPr>
          <w:i/>
          <w:sz w:val="20"/>
        </w:rPr>
        <w:t>x</w:t>
      </w:r>
      <w:r w:rsidRPr="009024F8">
        <w:rPr>
          <w:sz w:val="20"/>
        </w:rPr>
        <w:t>-variable) versus ISUS-derived NO</w:t>
      </w:r>
      <w:r w:rsidRPr="009024F8">
        <w:rPr>
          <w:sz w:val="20"/>
          <w:vertAlign w:val="subscript"/>
        </w:rPr>
        <w:t>3</w:t>
      </w:r>
      <w:r w:rsidRPr="009024F8">
        <w:rPr>
          <w:sz w:val="20"/>
        </w:rPr>
        <w:t xml:space="preserve"> concentrations (</w:t>
      </w:r>
      <w:r w:rsidRPr="00D7531E">
        <w:rPr>
          <w:i/>
          <w:sz w:val="20"/>
        </w:rPr>
        <w:t>y</w:t>
      </w:r>
      <w:r w:rsidRPr="009024F8">
        <w:rPr>
          <w:sz w:val="20"/>
        </w:rPr>
        <w:t xml:space="preserve">-variable) for groups of casts separated according to whether the downcast or </w:t>
      </w:r>
      <w:proofErr w:type="spellStart"/>
      <w:r w:rsidRPr="009024F8">
        <w:rPr>
          <w:sz w:val="20"/>
        </w:rPr>
        <w:t>upcast</w:t>
      </w:r>
      <w:proofErr w:type="spellEnd"/>
      <w:r w:rsidRPr="009024F8">
        <w:rPr>
          <w:sz w:val="20"/>
        </w:rPr>
        <w:t xml:space="preserve"> is reported and whether the ISUS was (or was not) connected to the CTD-O</w:t>
      </w:r>
      <w:r w:rsidRPr="009024F8">
        <w:rPr>
          <w:sz w:val="20"/>
          <w:vertAlign w:val="subscript"/>
        </w:rPr>
        <w:t>2</w:t>
      </w:r>
      <w:r w:rsidRPr="009024F8">
        <w:rPr>
          <w:sz w:val="20"/>
        </w:rPr>
        <w:t xml:space="preserve"> outflow.</w:t>
      </w:r>
    </w:p>
    <w:tbl>
      <w:tblPr>
        <w:tblStyle w:val="TableGrid"/>
        <w:tblW w:w="0" w:type="auto"/>
        <w:tblLook w:val="00BF"/>
      </w:tblPr>
      <w:tblGrid>
        <w:gridCol w:w="2214"/>
        <w:gridCol w:w="2214"/>
        <w:gridCol w:w="2214"/>
        <w:gridCol w:w="2214"/>
      </w:tblGrid>
      <w:tr w:rsidR="009024F8">
        <w:tc>
          <w:tcPr>
            <w:tcW w:w="2214" w:type="dxa"/>
          </w:tcPr>
          <w:p w:rsidR="009024F8" w:rsidRPr="00D7531E" w:rsidRDefault="009024F8" w:rsidP="00D7531E">
            <w:pPr>
              <w:jc w:val="center"/>
              <w:rPr>
                <w:b/>
                <w:sz w:val="20"/>
              </w:rPr>
            </w:pPr>
            <w:r w:rsidRPr="00D7531E">
              <w:rPr>
                <w:b/>
                <w:sz w:val="20"/>
              </w:rPr>
              <w:t>Casts</w:t>
            </w:r>
          </w:p>
        </w:tc>
        <w:tc>
          <w:tcPr>
            <w:tcW w:w="2214" w:type="dxa"/>
          </w:tcPr>
          <w:p w:rsidR="009024F8" w:rsidRPr="00D7531E" w:rsidRDefault="009024F8" w:rsidP="00D7531E">
            <w:pPr>
              <w:jc w:val="center"/>
              <w:rPr>
                <w:b/>
                <w:sz w:val="20"/>
              </w:rPr>
            </w:pPr>
            <w:r w:rsidRPr="00D7531E">
              <w:rPr>
                <w:b/>
                <w:sz w:val="20"/>
              </w:rPr>
              <w:t>Slope</w:t>
            </w:r>
          </w:p>
        </w:tc>
        <w:tc>
          <w:tcPr>
            <w:tcW w:w="2214" w:type="dxa"/>
          </w:tcPr>
          <w:p w:rsidR="009024F8" w:rsidRPr="00D7531E" w:rsidRDefault="009024F8" w:rsidP="00D7531E">
            <w:pPr>
              <w:jc w:val="center"/>
              <w:rPr>
                <w:b/>
                <w:sz w:val="20"/>
              </w:rPr>
            </w:pPr>
            <w:r w:rsidRPr="00D7531E">
              <w:rPr>
                <w:b/>
                <w:sz w:val="20"/>
              </w:rPr>
              <w:t>Intercept</w:t>
            </w:r>
          </w:p>
        </w:tc>
        <w:tc>
          <w:tcPr>
            <w:tcW w:w="2214" w:type="dxa"/>
          </w:tcPr>
          <w:p w:rsidR="009024F8" w:rsidRPr="00D7531E" w:rsidRDefault="009024F8" w:rsidP="00D7531E">
            <w:pPr>
              <w:jc w:val="center"/>
              <w:rPr>
                <w:b/>
                <w:sz w:val="20"/>
              </w:rPr>
            </w:pPr>
            <w:r w:rsidRPr="00D7531E">
              <w:rPr>
                <w:b/>
                <w:sz w:val="20"/>
              </w:rPr>
              <w:t>R</w:t>
            </w:r>
            <w:r w:rsidRPr="00D7531E">
              <w:rPr>
                <w:b/>
                <w:sz w:val="20"/>
                <w:vertAlign w:val="superscript"/>
              </w:rPr>
              <w:t>2</w:t>
            </w:r>
          </w:p>
        </w:tc>
      </w:tr>
      <w:tr w:rsidR="009024F8">
        <w:tc>
          <w:tcPr>
            <w:tcW w:w="2214" w:type="dxa"/>
          </w:tcPr>
          <w:p w:rsidR="009024F8" w:rsidRPr="00D7531E" w:rsidRDefault="009024F8" w:rsidP="00D7531E">
            <w:pPr>
              <w:jc w:val="center"/>
              <w:rPr>
                <w:sz w:val="20"/>
              </w:rPr>
            </w:pPr>
            <w:r w:rsidRPr="00D7531E">
              <w:rPr>
                <w:sz w:val="20"/>
              </w:rPr>
              <w:t>1-5</w:t>
            </w:r>
          </w:p>
        </w:tc>
        <w:tc>
          <w:tcPr>
            <w:tcW w:w="2214" w:type="dxa"/>
          </w:tcPr>
          <w:p w:rsidR="009024F8" w:rsidRPr="00D7531E" w:rsidRDefault="006D5B24" w:rsidP="00D7531E">
            <w:pPr>
              <w:jc w:val="center"/>
              <w:rPr>
                <w:sz w:val="20"/>
              </w:rPr>
            </w:pPr>
            <w:r w:rsidRPr="00D7531E">
              <w:rPr>
                <w:sz w:val="20"/>
              </w:rPr>
              <w:t>0.8132</w:t>
            </w:r>
          </w:p>
        </w:tc>
        <w:tc>
          <w:tcPr>
            <w:tcW w:w="2214" w:type="dxa"/>
          </w:tcPr>
          <w:p w:rsidR="009024F8" w:rsidRPr="00D7531E" w:rsidRDefault="006D5B24" w:rsidP="00D7531E">
            <w:pPr>
              <w:jc w:val="center"/>
              <w:rPr>
                <w:sz w:val="20"/>
              </w:rPr>
            </w:pPr>
            <w:r w:rsidRPr="00D7531E">
              <w:rPr>
                <w:sz w:val="20"/>
              </w:rPr>
              <w:t>1.9367</w:t>
            </w:r>
          </w:p>
        </w:tc>
        <w:tc>
          <w:tcPr>
            <w:tcW w:w="2214" w:type="dxa"/>
          </w:tcPr>
          <w:p w:rsidR="009024F8" w:rsidRPr="00D7531E" w:rsidRDefault="00521162" w:rsidP="00D7531E">
            <w:pPr>
              <w:jc w:val="center"/>
              <w:rPr>
                <w:sz w:val="20"/>
              </w:rPr>
            </w:pPr>
            <w:r w:rsidRPr="00D7531E">
              <w:rPr>
                <w:sz w:val="20"/>
              </w:rPr>
              <w:t>0.9885</w:t>
            </w:r>
          </w:p>
        </w:tc>
      </w:tr>
      <w:tr w:rsidR="009024F8">
        <w:tc>
          <w:tcPr>
            <w:tcW w:w="2214" w:type="dxa"/>
          </w:tcPr>
          <w:p w:rsidR="009024F8" w:rsidRPr="00D7531E" w:rsidRDefault="009024F8" w:rsidP="00D7531E">
            <w:pPr>
              <w:jc w:val="center"/>
              <w:rPr>
                <w:sz w:val="20"/>
              </w:rPr>
            </w:pPr>
            <w:r w:rsidRPr="00D7531E">
              <w:rPr>
                <w:sz w:val="20"/>
              </w:rPr>
              <w:t>6-11</w:t>
            </w:r>
          </w:p>
        </w:tc>
        <w:tc>
          <w:tcPr>
            <w:tcW w:w="2214" w:type="dxa"/>
          </w:tcPr>
          <w:p w:rsidR="009024F8" w:rsidRPr="00D7531E" w:rsidRDefault="006D5B24" w:rsidP="00D7531E">
            <w:pPr>
              <w:jc w:val="center"/>
              <w:rPr>
                <w:sz w:val="20"/>
              </w:rPr>
            </w:pPr>
            <w:r w:rsidRPr="00D7531E">
              <w:rPr>
                <w:sz w:val="20"/>
              </w:rPr>
              <w:t>0.8622</w:t>
            </w:r>
          </w:p>
        </w:tc>
        <w:tc>
          <w:tcPr>
            <w:tcW w:w="2214" w:type="dxa"/>
          </w:tcPr>
          <w:p w:rsidR="009024F8" w:rsidRPr="00D7531E" w:rsidRDefault="006D5B24" w:rsidP="00D7531E">
            <w:pPr>
              <w:jc w:val="center"/>
              <w:rPr>
                <w:sz w:val="20"/>
              </w:rPr>
            </w:pPr>
            <w:r w:rsidRPr="00D7531E">
              <w:rPr>
                <w:sz w:val="20"/>
              </w:rPr>
              <w:t>1.1992</w:t>
            </w:r>
          </w:p>
        </w:tc>
        <w:tc>
          <w:tcPr>
            <w:tcW w:w="2214" w:type="dxa"/>
          </w:tcPr>
          <w:p w:rsidR="009024F8" w:rsidRPr="00D7531E" w:rsidRDefault="00521162" w:rsidP="00D7531E">
            <w:pPr>
              <w:jc w:val="center"/>
              <w:rPr>
                <w:sz w:val="20"/>
              </w:rPr>
            </w:pPr>
            <w:r w:rsidRPr="00D7531E">
              <w:rPr>
                <w:sz w:val="20"/>
              </w:rPr>
              <w:t>0.9739</w:t>
            </w:r>
          </w:p>
        </w:tc>
      </w:tr>
      <w:tr w:rsidR="009024F8">
        <w:tc>
          <w:tcPr>
            <w:tcW w:w="2214" w:type="dxa"/>
          </w:tcPr>
          <w:p w:rsidR="009024F8" w:rsidRPr="00D7531E" w:rsidRDefault="009024F8" w:rsidP="00D7531E">
            <w:pPr>
              <w:jc w:val="center"/>
              <w:rPr>
                <w:sz w:val="20"/>
              </w:rPr>
            </w:pPr>
            <w:r w:rsidRPr="00D7531E">
              <w:rPr>
                <w:sz w:val="20"/>
              </w:rPr>
              <w:t>12-14</w:t>
            </w:r>
          </w:p>
        </w:tc>
        <w:tc>
          <w:tcPr>
            <w:tcW w:w="2214" w:type="dxa"/>
          </w:tcPr>
          <w:p w:rsidR="009024F8" w:rsidRPr="00D7531E" w:rsidRDefault="006D5B24" w:rsidP="00D7531E">
            <w:pPr>
              <w:jc w:val="center"/>
              <w:rPr>
                <w:sz w:val="20"/>
              </w:rPr>
            </w:pPr>
            <w:r w:rsidRPr="00D7531E">
              <w:rPr>
                <w:sz w:val="20"/>
              </w:rPr>
              <w:t>0.851</w:t>
            </w:r>
          </w:p>
        </w:tc>
        <w:tc>
          <w:tcPr>
            <w:tcW w:w="2214" w:type="dxa"/>
          </w:tcPr>
          <w:p w:rsidR="009024F8" w:rsidRPr="00D7531E" w:rsidRDefault="006D5B24" w:rsidP="00D7531E">
            <w:pPr>
              <w:jc w:val="center"/>
              <w:rPr>
                <w:sz w:val="20"/>
              </w:rPr>
            </w:pPr>
            <w:r w:rsidRPr="00D7531E">
              <w:rPr>
                <w:sz w:val="20"/>
              </w:rPr>
              <w:t>1.6632</w:t>
            </w:r>
          </w:p>
        </w:tc>
        <w:tc>
          <w:tcPr>
            <w:tcW w:w="2214" w:type="dxa"/>
          </w:tcPr>
          <w:p w:rsidR="009024F8" w:rsidRPr="00D7531E" w:rsidRDefault="00521162" w:rsidP="00D7531E">
            <w:pPr>
              <w:jc w:val="center"/>
              <w:rPr>
                <w:sz w:val="20"/>
              </w:rPr>
            </w:pPr>
            <w:r w:rsidRPr="00D7531E">
              <w:rPr>
                <w:sz w:val="20"/>
              </w:rPr>
              <w:t>0.9863</w:t>
            </w:r>
          </w:p>
        </w:tc>
      </w:tr>
      <w:tr w:rsidR="009024F8">
        <w:tc>
          <w:tcPr>
            <w:tcW w:w="2214" w:type="dxa"/>
          </w:tcPr>
          <w:p w:rsidR="009024F8" w:rsidRPr="00D7531E" w:rsidRDefault="009024F8" w:rsidP="00D7531E">
            <w:pPr>
              <w:jc w:val="center"/>
              <w:rPr>
                <w:sz w:val="20"/>
              </w:rPr>
            </w:pPr>
            <w:r w:rsidRPr="00D7531E">
              <w:rPr>
                <w:sz w:val="20"/>
              </w:rPr>
              <w:t>12-14b</w:t>
            </w:r>
          </w:p>
        </w:tc>
        <w:tc>
          <w:tcPr>
            <w:tcW w:w="2214" w:type="dxa"/>
          </w:tcPr>
          <w:p w:rsidR="009024F8" w:rsidRPr="00D7531E" w:rsidRDefault="006D5B24" w:rsidP="00D7531E">
            <w:pPr>
              <w:jc w:val="center"/>
              <w:rPr>
                <w:sz w:val="20"/>
              </w:rPr>
            </w:pPr>
            <w:r w:rsidRPr="00D7531E">
              <w:rPr>
                <w:sz w:val="20"/>
              </w:rPr>
              <w:t>0.8697</w:t>
            </w:r>
          </w:p>
        </w:tc>
        <w:tc>
          <w:tcPr>
            <w:tcW w:w="2214" w:type="dxa"/>
          </w:tcPr>
          <w:p w:rsidR="009024F8" w:rsidRPr="00D7531E" w:rsidRDefault="006D5B24" w:rsidP="00D7531E">
            <w:pPr>
              <w:jc w:val="center"/>
              <w:rPr>
                <w:sz w:val="20"/>
              </w:rPr>
            </w:pPr>
            <w:r w:rsidRPr="00D7531E">
              <w:rPr>
                <w:sz w:val="20"/>
              </w:rPr>
              <w:t>1.4047</w:t>
            </w:r>
          </w:p>
        </w:tc>
        <w:tc>
          <w:tcPr>
            <w:tcW w:w="2214" w:type="dxa"/>
          </w:tcPr>
          <w:p w:rsidR="009024F8" w:rsidRPr="00D7531E" w:rsidRDefault="00521162" w:rsidP="00D7531E">
            <w:pPr>
              <w:jc w:val="center"/>
              <w:rPr>
                <w:sz w:val="20"/>
              </w:rPr>
            </w:pPr>
            <w:r w:rsidRPr="00D7531E">
              <w:rPr>
                <w:sz w:val="20"/>
              </w:rPr>
              <w:t>0.9812</w:t>
            </w:r>
          </w:p>
        </w:tc>
      </w:tr>
    </w:tbl>
    <w:p w:rsidR="009024F8" w:rsidRDefault="009024F8" w:rsidP="00237470"/>
    <w:p w:rsidR="00A115EA" w:rsidRDefault="00A115EA" w:rsidP="00120064"/>
    <w:p w:rsidR="00D7531E" w:rsidRPr="007678E6" w:rsidRDefault="00D7531E" w:rsidP="00D7531E">
      <w:pPr>
        <w:rPr>
          <w:i/>
        </w:rPr>
      </w:pPr>
      <w:r>
        <w:rPr>
          <w:i/>
        </w:rPr>
        <w:t>Problems with Casts 6-14</w:t>
      </w:r>
    </w:p>
    <w:p w:rsidR="00D7531E" w:rsidRDefault="00D7531E" w:rsidP="00D7531E">
      <w:r>
        <w:tab/>
        <w:t>T</w:t>
      </w:r>
      <w:r w:rsidRPr="00827DCE">
        <w:t>he 5076-0229 CTD-O</w:t>
      </w:r>
      <w:r w:rsidRPr="00827DCE">
        <w:rPr>
          <w:vertAlign w:val="subscript"/>
        </w:rPr>
        <w:t>2</w:t>
      </w:r>
      <w:r w:rsidRPr="00827DCE">
        <w:t xml:space="preserve"> package </w:t>
      </w:r>
      <w:r>
        <w:t>recorded quality</w:t>
      </w:r>
      <w:r w:rsidRPr="00827DCE">
        <w:t xml:space="preserve"> oxygen data on both the downcast and </w:t>
      </w:r>
      <w:proofErr w:type="spellStart"/>
      <w:r w:rsidRPr="00827DCE">
        <w:t>upcast</w:t>
      </w:r>
      <w:proofErr w:type="spellEnd"/>
      <w:r>
        <w:t xml:space="preserve"> during Casts 1-5; therefore the downcast data are reported for these casts</w:t>
      </w:r>
      <w:r w:rsidRPr="00827DCE">
        <w:t>.</w:t>
      </w:r>
      <w:r>
        <w:t xml:space="preserve">  However, a negative bias was observed during the downcasts of Casts 6-14 that was not encountered in the </w:t>
      </w:r>
      <w:proofErr w:type="spellStart"/>
      <w:r>
        <w:t>upcast</w:t>
      </w:r>
      <w:proofErr w:type="spellEnd"/>
      <w:r>
        <w:t xml:space="preserve"> data records.  We do not have a satisfactory explanation for the cause of the sensor bias during these casts.  However, we did observe a significant increase in the offset between downcast and </w:t>
      </w:r>
      <w:proofErr w:type="spellStart"/>
      <w:r>
        <w:t>upcast</w:t>
      </w:r>
      <w:proofErr w:type="spellEnd"/>
      <w:r>
        <w:t xml:space="preserve"> NO</w:t>
      </w:r>
      <w:r w:rsidRPr="00541B35">
        <w:rPr>
          <w:vertAlign w:val="subscript"/>
        </w:rPr>
        <w:t>3</w:t>
      </w:r>
      <w:r>
        <w:t xml:space="preserve"> profiles recorded by the ISUS that was coincident with the biased O</w:t>
      </w:r>
      <w:r w:rsidRPr="00541B35">
        <w:rPr>
          <w:vertAlign w:val="subscript"/>
        </w:rPr>
        <w:t>2</w:t>
      </w:r>
      <w:r>
        <w:t xml:space="preserve"> data</w:t>
      </w:r>
      <w:r w:rsidR="00097D61">
        <w:t xml:space="preserve"> (Fig. 1)</w:t>
      </w:r>
      <w:r>
        <w:t xml:space="preserve">.  Assuming these two issues are linked, we have outlined the following hypothesis.  </w:t>
      </w:r>
      <w:r w:rsidRPr="00827DCE">
        <w:t xml:space="preserve">We speculate that </w:t>
      </w:r>
      <w:r>
        <w:t>slush ice may have been introduced into the sample stream when the instrument package was brought to the near surface following the bottle cast and just prior to the downcast.  We further suggest this ice blocked or slowed exchange through the O</w:t>
      </w:r>
      <w:r w:rsidRPr="008A13CF">
        <w:rPr>
          <w:vertAlign w:val="subscript"/>
        </w:rPr>
        <w:t>2</w:t>
      </w:r>
      <w:r>
        <w:t xml:space="preserve"> sensor membrane.  Dissolved oxygen in s</w:t>
      </w:r>
      <w:r w:rsidRPr="00827DCE">
        <w:t xml:space="preserve">eawater </w:t>
      </w:r>
      <w:r>
        <w:t>must diffuse through the sensor membrane</w:t>
      </w:r>
      <w:r w:rsidRPr="00827DCE">
        <w:t xml:space="preserve"> to react with an </w:t>
      </w:r>
      <w:r>
        <w:t xml:space="preserve">internal </w:t>
      </w:r>
      <w:r w:rsidRPr="00827DCE">
        <w:t>electrode</w:t>
      </w:r>
      <w:r>
        <w:t>,</w:t>
      </w:r>
      <w:r w:rsidRPr="00827DCE">
        <w:t xml:space="preserve"> resulting in the donation of electrons.  The donation of four electrons per molecule of oxygen is counted per second</w:t>
      </w:r>
      <w:r>
        <w:t>, recording a voltage that is calibrated</w:t>
      </w:r>
      <w:r w:rsidRPr="00827DCE">
        <w:t xml:space="preserve"> to determine the oxygen concentration of the seawater sample.  </w:t>
      </w:r>
      <w:r>
        <w:t>The</w:t>
      </w:r>
      <w:r w:rsidRPr="00827DCE">
        <w:t xml:space="preserve"> sensor requires flushing in </w:t>
      </w:r>
      <w:r>
        <w:t>order to record accurate data; therefore, t</w:t>
      </w:r>
      <w:r w:rsidRPr="00827DCE">
        <w:t xml:space="preserve">he lower </w:t>
      </w:r>
      <w:r>
        <w:t>O</w:t>
      </w:r>
      <w:r w:rsidRPr="00FD4ED8">
        <w:rPr>
          <w:vertAlign w:val="subscript"/>
        </w:rPr>
        <w:t>2</w:t>
      </w:r>
      <w:r w:rsidRPr="00827DCE">
        <w:t xml:space="preserve"> recorded during the downcasts </w:t>
      </w:r>
      <w:r>
        <w:t xml:space="preserve">may have therefore </w:t>
      </w:r>
      <w:r w:rsidRPr="00827DCE">
        <w:t>result</w:t>
      </w:r>
      <w:r>
        <w:t>ed from slush ice interfering with exchange through</w:t>
      </w:r>
      <w:r w:rsidRPr="00827DCE">
        <w:t xml:space="preserve"> the sensor</w:t>
      </w:r>
      <w:r>
        <w:t xml:space="preserve"> membrane</w:t>
      </w:r>
      <w:r w:rsidRPr="00827DCE">
        <w:t>.</w:t>
      </w:r>
      <w:r>
        <w:t xml:space="preserve">  </w:t>
      </w:r>
      <w:r w:rsidRPr="00827DCE">
        <w:t xml:space="preserve">As the </w:t>
      </w:r>
      <w:r>
        <w:t xml:space="preserve">instrument </w:t>
      </w:r>
      <w:r w:rsidRPr="00827DCE">
        <w:t xml:space="preserve">package moved deeper through the water column, the increase in pressure </w:t>
      </w:r>
      <w:r>
        <w:t xml:space="preserve">and temperature likely melted the ice, clearing obstructions to the membrane and improving the flow rate.  Hence, the </w:t>
      </w:r>
      <w:proofErr w:type="spellStart"/>
      <w:r>
        <w:t>upcasts</w:t>
      </w:r>
      <w:proofErr w:type="spellEnd"/>
      <w:r>
        <w:t xml:space="preserve"> were unaffected by this issue and returned quality measurements.  </w:t>
      </w:r>
    </w:p>
    <w:p w:rsidR="00D7531E" w:rsidRDefault="00D7531E" w:rsidP="00D7531E">
      <w:r>
        <w:tab/>
        <w:t>If seawater flow was reduced through the CTD-O</w:t>
      </w:r>
      <w:r w:rsidRPr="00541B35">
        <w:rPr>
          <w:vertAlign w:val="subscript"/>
        </w:rPr>
        <w:t>2</w:t>
      </w:r>
      <w:r>
        <w:t xml:space="preserve"> system, the reduced flow might have been exacerbated along the length of </w:t>
      </w:r>
      <w:proofErr w:type="spellStart"/>
      <w:r>
        <w:t>Tygon</w:t>
      </w:r>
      <w:proofErr w:type="spellEnd"/>
      <w:r>
        <w:t xml:space="preserve"> tubing connecting the ISUS to the CTD-O</w:t>
      </w:r>
      <w:r w:rsidRPr="008A13CF">
        <w:rPr>
          <w:vertAlign w:val="subscript"/>
        </w:rPr>
        <w:t>2</w:t>
      </w:r>
      <w:r>
        <w:t xml:space="preserve"> outflow, resulting in the larger offset observed between downcast and </w:t>
      </w:r>
      <w:proofErr w:type="spellStart"/>
      <w:r>
        <w:t>upcast</w:t>
      </w:r>
      <w:proofErr w:type="spellEnd"/>
      <w:r>
        <w:t xml:space="preserve"> NO</w:t>
      </w:r>
      <w:r w:rsidRPr="00541B35">
        <w:rPr>
          <w:vertAlign w:val="subscript"/>
        </w:rPr>
        <w:t>3</w:t>
      </w:r>
      <w:r>
        <w:t xml:space="preserve"> profiles.  However, if such a reduction in flow did occur, one would expect a certain degree of smearing in the downcast NO</w:t>
      </w:r>
      <w:r w:rsidRPr="00BC1927">
        <w:rPr>
          <w:vertAlign w:val="subscript"/>
        </w:rPr>
        <w:t>3</w:t>
      </w:r>
      <w:r>
        <w:t xml:space="preserve"> data as well as a longer lag (higher advance) between temperature and NO</w:t>
      </w:r>
      <w:r w:rsidRPr="00BC1927">
        <w:rPr>
          <w:vertAlign w:val="subscript"/>
        </w:rPr>
        <w:t>3</w:t>
      </w:r>
      <w:r>
        <w:t xml:space="preserve"> measurements collected during the downcast versus those collected during the </w:t>
      </w:r>
      <w:proofErr w:type="spellStart"/>
      <w:r>
        <w:t>upcast</w:t>
      </w:r>
      <w:proofErr w:type="spellEnd"/>
      <w:r>
        <w:t>.  Examination of the data did not reveal any obvious smearing or significant differences in flow rates; however, such investigations were quite difficult with the available data and we therefore must admit that such attempts were not conclusive.  There are a number of alternative explanations that might account for the negative bias in the downcast O</w:t>
      </w:r>
      <w:r w:rsidRPr="00BC1927">
        <w:rPr>
          <w:vertAlign w:val="subscript"/>
        </w:rPr>
        <w:t xml:space="preserve">2 </w:t>
      </w:r>
      <w:r>
        <w:t>concentrations, including a variety of internal issues with the sensor.  However, there are fewer likely explanations for the larger offset observed in the ISUS NO3 profiles.  One possible explanation could be some discrepancy between the ISUS and CTD internal clocks, a scenario that would influence the time synchronization of the two data records.  However, the plumbing between the CTD-O</w:t>
      </w:r>
      <w:r w:rsidRPr="00BC1927">
        <w:rPr>
          <w:vertAlign w:val="subscript"/>
        </w:rPr>
        <w:t>2</w:t>
      </w:r>
      <w:r>
        <w:t xml:space="preserve"> system and the ISUS was disconnected for Casts 12-14 and the NO3 profiles did not exhibit the large offset between downcast and </w:t>
      </w:r>
      <w:proofErr w:type="spellStart"/>
      <w:r>
        <w:t>upcast</w:t>
      </w:r>
      <w:proofErr w:type="spellEnd"/>
      <w:r>
        <w:t xml:space="preserve"> NO</w:t>
      </w:r>
      <w:r w:rsidRPr="00BC1927">
        <w:rPr>
          <w:vertAlign w:val="subscript"/>
        </w:rPr>
        <w:t>3</w:t>
      </w:r>
      <w:r>
        <w:t>.</w:t>
      </w:r>
    </w:p>
    <w:p w:rsidR="00097D61" w:rsidRDefault="00097D61" w:rsidP="00120064"/>
    <w:p w:rsidR="000F6D78" w:rsidRDefault="000F6D78" w:rsidP="00120064">
      <w:r>
        <w:rPr>
          <w:noProof/>
        </w:rPr>
        <w:drawing>
          <wp:inline distT="0" distB="0" distL="0" distR="0">
            <wp:extent cx="5486400" cy="3067396"/>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486400" cy="3067396"/>
                    </a:xfrm>
                    <a:prstGeom prst="rect">
                      <a:avLst/>
                    </a:prstGeom>
                    <a:noFill/>
                    <a:ln w="9525">
                      <a:noFill/>
                      <a:miter lim="800000"/>
                      <a:headEnd/>
                      <a:tailEnd/>
                    </a:ln>
                  </pic:spPr>
                </pic:pic>
              </a:graphicData>
            </a:graphic>
          </wp:inline>
        </w:drawing>
      </w:r>
    </w:p>
    <w:p w:rsidR="00097D61" w:rsidRDefault="000F6D78" w:rsidP="00120064">
      <w:r w:rsidRPr="000F6D78">
        <w:rPr>
          <w:b/>
          <w:sz w:val="20"/>
        </w:rPr>
        <w:t>Figure 1.</w:t>
      </w:r>
      <w:r>
        <w:t xml:space="preserve"> </w:t>
      </w:r>
      <w:r w:rsidRPr="00903948">
        <w:rPr>
          <w:sz w:val="20"/>
        </w:rPr>
        <w:t xml:space="preserve">Vertical profiles of </w:t>
      </w:r>
      <w:r>
        <w:rPr>
          <w:sz w:val="20"/>
        </w:rPr>
        <w:t>nitrate</w:t>
      </w:r>
      <w:r w:rsidRPr="00903948">
        <w:rPr>
          <w:sz w:val="20"/>
        </w:rPr>
        <w:t xml:space="preserve"> for (a) Cast 2, 85N, 90E and (b) Cast 10, 87N, 90E.  Downcast data are plotted as solid blue </w:t>
      </w:r>
      <w:r>
        <w:rPr>
          <w:sz w:val="20"/>
        </w:rPr>
        <w:t>dots</w:t>
      </w:r>
      <w:r w:rsidRPr="00903948">
        <w:rPr>
          <w:sz w:val="20"/>
        </w:rPr>
        <w:t xml:space="preserve"> whereas </w:t>
      </w:r>
      <w:proofErr w:type="spellStart"/>
      <w:r w:rsidRPr="00903948">
        <w:rPr>
          <w:sz w:val="20"/>
        </w:rPr>
        <w:t>upca</w:t>
      </w:r>
      <w:r>
        <w:rPr>
          <w:sz w:val="20"/>
        </w:rPr>
        <w:t>st</w:t>
      </w:r>
      <w:proofErr w:type="spellEnd"/>
      <w:r>
        <w:rPr>
          <w:sz w:val="20"/>
        </w:rPr>
        <w:t xml:space="preserve"> data are plotted as red pluses</w:t>
      </w:r>
      <w:r w:rsidRPr="00903948">
        <w:rPr>
          <w:sz w:val="20"/>
        </w:rPr>
        <w:t xml:space="preserve">.  The </w:t>
      </w:r>
      <w:r>
        <w:rPr>
          <w:sz w:val="20"/>
        </w:rPr>
        <w:t xml:space="preserve">larger gap between the downcast and </w:t>
      </w:r>
      <w:proofErr w:type="spellStart"/>
      <w:r>
        <w:rPr>
          <w:sz w:val="20"/>
        </w:rPr>
        <w:t>upcast</w:t>
      </w:r>
      <w:proofErr w:type="spellEnd"/>
      <w:r>
        <w:rPr>
          <w:sz w:val="20"/>
        </w:rPr>
        <w:t xml:space="preserve"> nitrate data, typical of Casts 6-11, is clearly evident in the right panel (Cast 10) compared to the left panel (Cast 2).</w:t>
      </w:r>
    </w:p>
    <w:p w:rsidR="00097D61" w:rsidRDefault="00097D61" w:rsidP="00120064"/>
    <w:p w:rsidR="000F6D78" w:rsidRDefault="00097D61" w:rsidP="00120064">
      <w:r>
        <w:tab/>
        <w:t>Despite these issues, we are confident in the data quality of the measurements collected.  Linear regressions of bottle NO3 versus ISUS NO</w:t>
      </w:r>
      <w:r>
        <w:rPr>
          <w:vertAlign w:val="subscript"/>
        </w:rPr>
        <w:t>3</w:t>
      </w:r>
      <w:r>
        <w:t xml:space="preserve"> concentrations returned high correlation coefficients and relatively low intercepts (&lt; 2 </w:t>
      </w:r>
      <w:r w:rsidRPr="00DD061E">
        <w:rPr>
          <w:rFonts w:ascii="Symbol" w:hAnsi="Symbol"/>
        </w:rPr>
        <w:t>m</w:t>
      </w:r>
      <w:r>
        <w:t xml:space="preserve">M).  Furthermore, additional comparisons between </w:t>
      </w:r>
      <w:proofErr w:type="spellStart"/>
      <w:r>
        <w:t>upcast</w:t>
      </w:r>
      <w:proofErr w:type="spellEnd"/>
      <w:r>
        <w:t xml:space="preserve"> data acquired using the 5076-0229 package and downcast data using the 4000-1406 package (deployed immediately following the 5076-0229 casts) at stations Brno (Cast 12), NP (Cast 13), and 89ºN, 90ºE (Cast 14) were favorable in both the absolute NO</w:t>
      </w:r>
      <w:r>
        <w:rPr>
          <w:vertAlign w:val="subscript"/>
        </w:rPr>
        <w:t>3</w:t>
      </w:r>
      <w:r>
        <w:t xml:space="preserve"> concentrations, shape of the vertical NO</w:t>
      </w:r>
      <w:r>
        <w:rPr>
          <w:vertAlign w:val="subscript"/>
        </w:rPr>
        <w:t>3</w:t>
      </w:r>
      <w:r>
        <w:t xml:space="preserve"> profile, and agreement between plots of salinity versus O</w:t>
      </w:r>
      <w:r>
        <w:rPr>
          <w:vertAlign w:val="subscript"/>
        </w:rPr>
        <w:t>3</w:t>
      </w:r>
      <w:r>
        <w:t xml:space="preserve"> (Fig. 2).  Finally, generally good agreement was observed in the relative alignment of O</w:t>
      </w:r>
      <w:r w:rsidRPr="003F084E">
        <w:rPr>
          <w:vertAlign w:val="subscript"/>
        </w:rPr>
        <w:t>2</w:t>
      </w:r>
      <w:r>
        <w:t xml:space="preserve"> and NO</w:t>
      </w:r>
      <w:r w:rsidRPr="003F084E">
        <w:rPr>
          <w:vertAlign w:val="subscript"/>
        </w:rPr>
        <w:t>3</w:t>
      </w:r>
      <w:r>
        <w:t xml:space="preserve"> features (expected due to the relationship between these two variables through biological production and respiration processes).</w:t>
      </w:r>
      <w:r>
        <w:br/>
      </w:r>
    </w:p>
    <w:p w:rsidR="000F6D78" w:rsidRDefault="000F6D78" w:rsidP="00120064">
      <w:r>
        <w:rPr>
          <w:noProof/>
        </w:rPr>
        <w:drawing>
          <wp:inline distT="0" distB="0" distL="0" distR="0">
            <wp:extent cx="5486400" cy="31242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86400" cy="3124200"/>
                    </a:xfrm>
                    <a:prstGeom prst="rect">
                      <a:avLst/>
                    </a:prstGeom>
                    <a:noFill/>
                    <a:ln w="9525">
                      <a:noFill/>
                      <a:miter lim="800000"/>
                      <a:headEnd/>
                      <a:tailEnd/>
                    </a:ln>
                  </pic:spPr>
                </pic:pic>
              </a:graphicData>
            </a:graphic>
          </wp:inline>
        </w:drawing>
      </w:r>
    </w:p>
    <w:p w:rsidR="000F6D78" w:rsidRDefault="00DD061E" w:rsidP="00120064">
      <w:r w:rsidRPr="00DD061E">
        <w:rPr>
          <w:b/>
          <w:sz w:val="20"/>
        </w:rPr>
        <w:t>Figure 2.</w:t>
      </w:r>
      <w:r>
        <w:t xml:space="preserve"> </w:t>
      </w:r>
      <w:r w:rsidRPr="00F5773A">
        <w:rPr>
          <w:sz w:val="20"/>
        </w:rPr>
        <w:t xml:space="preserve">Plots of </w:t>
      </w:r>
      <w:r>
        <w:rPr>
          <w:sz w:val="20"/>
        </w:rPr>
        <w:t>nitrate</w:t>
      </w:r>
      <w:r w:rsidRPr="00F5773A">
        <w:rPr>
          <w:sz w:val="20"/>
        </w:rPr>
        <w:t xml:space="preserve"> versus salinity for data collected at station </w:t>
      </w:r>
      <w:proofErr w:type="spellStart"/>
      <w:r w:rsidRPr="00F5773A">
        <w:rPr>
          <w:sz w:val="20"/>
        </w:rPr>
        <w:t>Barneo</w:t>
      </w:r>
      <w:proofErr w:type="spellEnd"/>
      <w:r w:rsidRPr="00F5773A">
        <w:rPr>
          <w:sz w:val="20"/>
        </w:rPr>
        <w:t xml:space="preserve"> on April 16 (blue line, Cast 1), April 18 (red line, Cast 7), and April 21 (black and red lines representing successive deployments of the 5076-0229 and 4000-1406 sensor packages, respectively).  The shapes of the </w:t>
      </w:r>
      <w:r>
        <w:rPr>
          <w:sz w:val="20"/>
        </w:rPr>
        <w:t>N</w:t>
      </w:r>
      <w:r w:rsidRPr="00F5773A">
        <w:rPr>
          <w:sz w:val="20"/>
        </w:rPr>
        <w:t>O</w:t>
      </w:r>
      <w:r>
        <w:rPr>
          <w:sz w:val="20"/>
          <w:vertAlign w:val="subscript"/>
        </w:rPr>
        <w:t>3</w:t>
      </w:r>
      <w:r w:rsidRPr="00F5773A">
        <w:rPr>
          <w:sz w:val="20"/>
        </w:rPr>
        <w:t xml:space="preserve">-S curves are all quite similar and the maximum difference among </w:t>
      </w:r>
      <w:r>
        <w:rPr>
          <w:sz w:val="20"/>
        </w:rPr>
        <w:t>N</w:t>
      </w:r>
      <w:r w:rsidRPr="00F5773A">
        <w:rPr>
          <w:sz w:val="20"/>
        </w:rPr>
        <w:t>O</w:t>
      </w:r>
      <w:r>
        <w:rPr>
          <w:sz w:val="20"/>
          <w:vertAlign w:val="subscript"/>
        </w:rPr>
        <w:t>3</w:t>
      </w:r>
      <w:r w:rsidRPr="00F5773A">
        <w:rPr>
          <w:sz w:val="20"/>
          <w:vertAlign w:val="subscript"/>
        </w:rPr>
        <w:t xml:space="preserve"> </w:t>
      </w:r>
      <w:r w:rsidRPr="00F5773A">
        <w:rPr>
          <w:sz w:val="20"/>
        </w:rPr>
        <w:t xml:space="preserve">concentrations at any given salinity is </w:t>
      </w:r>
      <w:r>
        <w:rPr>
          <w:sz w:val="20"/>
        </w:rPr>
        <w:t xml:space="preserve">&lt; 2 </w:t>
      </w:r>
      <w:r w:rsidRPr="00DD061E">
        <w:rPr>
          <w:rFonts w:ascii="Symbol" w:hAnsi="Symbol"/>
          <w:sz w:val="20"/>
        </w:rPr>
        <w:t>m</w:t>
      </w:r>
      <w:r>
        <w:rPr>
          <w:sz w:val="20"/>
        </w:rPr>
        <w:t>M</w:t>
      </w:r>
      <w:r w:rsidR="00AA1C3F">
        <w:rPr>
          <w:sz w:val="20"/>
        </w:rPr>
        <w:t xml:space="preserve"> (the accuracy of the V2 ISUS specified by the manufacturer, </w:t>
      </w:r>
      <w:proofErr w:type="spellStart"/>
      <w:r w:rsidR="00AA1C3F">
        <w:rPr>
          <w:sz w:val="20"/>
        </w:rPr>
        <w:t>Satlantic</w:t>
      </w:r>
      <w:proofErr w:type="spellEnd"/>
      <w:r w:rsidR="00AA1C3F">
        <w:rPr>
          <w:sz w:val="20"/>
        </w:rPr>
        <w:t>)</w:t>
      </w:r>
      <w:r>
        <w:rPr>
          <w:sz w:val="20"/>
        </w:rPr>
        <w:t>.</w:t>
      </w:r>
    </w:p>
    <w:p w:rsidR="00120064" w:rsidRDefault="00120064" w:rsidP="00120064"/>
    <w:p w:rsidR="00120064" w:rsidRDefault="00120064" w:rsidP="00120064">
      <w:r>
        <w:t>The final data files are tab-delimited ASCII text files, each consisting of 12 columns of data:</w:t>
      </w:r>
    </w:p>
    <w:p w:rsidR="00120064" w:rsidRDefault="00120064" w:rsidP="00120064">
      <w:pPr>
        <w:autoSpaceDE w:val="0"/>
        <w:autoSpaceDN w:val="0"/>
        <w:adjustRightInd w:val="0"/>
        <w:rPr>
          <w:rFonts w:ascii="Courier New" w:hAnsi="Courier New"/>
        </w:rPr>
      </w:pPr>
    </w:p>
    <w:p w:rsidR="00120064" w:rsidRPr="00120064" w:rsidRDefault="00120064" w:rsidP="00120064">
      <w:pPr>
        <w:autoSpaceDE w:val="0"/>
        <w:autoSpaceDN w:val="0"/>
        <w:adjustRightInd w:val="0"/>
        <w:rPr>
          <w:rFonts w:cs="Times"/>
          <w:b/>
        </w:rPr>
      </w:pPr>
      <w:r>
        <w:rPr>
          <w:rFonts w:cs="Times"/>
          <w:b/>
        </w:rPr>
        <w:t>(1</w:t>
      </w:r>
      <w:r w:rsidRPr="0077142B">
        <w:rPr>
          <w:rFonts w:cs="Times"/>
          <w:b/>
        </w:rPr>
        <w:t xml:space="preserve">) = </w:t>
      </w:r>
      <w:proofErr w:type="spellStart"/>
      <w:r>
        <w:rPr>
          <w:rFonts w:cs="Times"/>
          <w:b/>
        </w:rPr>
        <w:t>Pressue</w:t>
      </w:r>
      <w:proofErr w:type="spellEnd"/>
      <w:r>
        <w:rPr>
          <w:rFonts w:cs="Times"/>
          <w:b/>
        </w:rPr>
        <w:t xml:space="preserve"> [db]</w:t>
      </w:r>
    </w:p>
    <w:p w:rsidR="00120064" w:rsidRDefault="00120064" w:rsidP="00120064">
      <w:pPr>
        <w:autoSpaceDE w:val="0"/>
        <w:autoSpaceDN w:val="0"/>
        <w:adjustRightInd w:val="0"/>
        <w:rPr>
          <w:rFonts w:cs="Times"/>
          <w:b/>
        </w:rPr>
      </w:pPr>
      <w:r>
        <w:rPr>
          <w:rFonts w:cs="Times"/>
          <w:b/>
        </w:rPr>
        <w:t>(2</w:t>
      </w:r>
      <w:r w:rsidRPr="0077142B">
        <w:rPr>
          <w:rFonts w:cs="Times"/>
          <w:b/>
        </w:rPr>
        <w:t xml:space="preserve">) = </w:t>
      </w:r>
      <w:r>
        <w:rPr>
          <w:rFonts w:cs="Times"/>
          <w:b/>
        </w:rPr>
        <w:t>Depth [salt water, m]</w:t>
      </w:r>
    </w:p>
    <w:p w:rsidR="00120064" w:rsidRDefault="00120064" w:rsidP="00120064">
      <w:pPr>
        <w:autoSpaceDE w:val="0"/>
        <w:autoSpaceDN w:val="0"/>
        <w:adjustRightInd w:val="0"/>
        <w:rPr>
          <w:rFonts w:cs="Times"/>
          <w:b/>
        </w:rPr>
      </w:pPr>
      <w:r>
        <w:rPr>
          <w:rFonts w:cs="Times"/>
          <w:b/>
        </w:rPr>
        <w:t>(3</w:t>
      </w:r>
      <w:r w:rsidRPr="0077142B">
        <w:rPr>
          <w:rFonts w:cs="Times"/>
          <w:b/>
        </w:rPr>
        <w:t>) = Temperature [ITS-90, deg C]</w:t>
      </w:r>
    </w:p>
    <w:p w:rsidR="00120064" w:rsidRPr="0077142B" w:rsidRDefault="00120064" w:rsidP="00120064">
      <w:pPr>
        <w:autoSpaceDE w:val="0"/>
        <w:autoSpaceDN w:val="0"/>
        <w:adjustRightInd w:val="0"/>
        <w:rPr>
          <w:rFonts w:cs="Times"/>
        </w:rPr>
      </w:pPr>
      <w:r>
        <w:rPr>
          <w:rFonts w:cs="Times"/>
          <w:b/>
        </w:rPr>
        <w:t>(4</w:t>
      </w:r>
      <w:r w:rsidRPr="0077142B">
        <w:rPr>
          <w:rFonts w:cs="Times"/>
          <w:b/>
        </w:rPr>
        <w:t xml:space="preserve">) = </w:t>
      </w:r>
      <w:r>
        <w:rPr>
          <w:rFonts w:cs="Times"/>
          <w:b/>
        </w:rPr>
        <w:t xml:space="preserve">Potential </w:t>
      </w:r>
      <w:r w:rsidRPr="0077142B">
        <w:rPr>
          <w:rFonts w:cs="Times"/>
          <w:b/>
        </w:rPr>
        <w:t>Temperature [ITS-90, deg C]</w:t>
      </w:r>
    </w:p>
    <w:p w:rsidR="00120064" w:rsidRDefault="00120064" w:rsidP="00120064">
      <w:pPr>
        <w:autoSpaceDE w:val="0"/>
        <w:autoSpaceDN w:val="0"/>
        <w:adjustRightInd w:val="0"/>
        <w:rPr>
          <w:rFonts w:cs="Times"/>
          <w:b/>
        </w:rPr>
      </w:pPr>
      <w:r>
        <w:rPr>
          <w:rFonts w:cs="Times"/>
          <w:b/>
        </w:rPr>
        <w:t xml:space="preserve">(5) = </w:t>
      </w:r>
      <w:r w:rsidRPr="0077142B">
        <w:rPr>
          <w:rFonts w:cs="Times"/>
          <w:b/>
        </w:rPr>
        <w:t>Salinity [PSU]</w:t>
      </w:r>
    </w:p>
    <w:p w:rsidR="00120064" w:rsidRPr="0077142B" w:rsidRDefault="00120064" w:rsidP="00120064">
      <w:pPr>
        <w:autoSpaceDE w:val="0"/>
        <w:autoSpaceDN w:val="0"/>
        <w:adjustRightInd w:val="0"/>
        <w:rPr>
          <w:rFonts w:cs="Times"/>
        </w:rPr>
      </w:pPr>
      <w:r>
        <w:rPr>
          <w:rFonts w:cs="Times"/>
          <w:b/>
        </w:rPr>
        <w:t>(6) = Potential Density [sigma, kg m-</w:t>
      </w:r>
      <w:r w:rsidRPr="00073BE1">
        <w:rPr>
          <w:rFonts w:cs="Times"/>
          <w:b/>
          <w:vertAlign w:val="superscript"/>
        </w:rPr>
        <w:t>3</w:t>
      </w:r>
      <w:r>
        <w:rPr>
          <w:rFonts w:cs="Times"/>
          <w:b/>
        </w:rPr>
        <w:t>]</w:t>
      </w:r>
    </w:p>
    <w:p w:rsidR="00120064" w:rsidRDefault="00120064" w:rsidP="00120064">
      <w:pPr>
        <w:autoSpaceDE w:val="0"/>
        <w:autoSpaceDN w:val="0"/>
        <w:adjustRightInd w:val="0"/>
        <w:rPr>
          <w:rFonts w:cs="Times"/>
          <w:b/>
        </w:rPr>
      </w:pPr>
      <w:r>
        <w:rPr>
          <w:rFonts w:cs="Times"/>
          <w:b/>
        </w:rPr>
        <w:t>(7</w:t>
      </w:r>
      <w:r w:rsidRPr="0077142B">
        <w:rPr>
          <w:rFonts w:cs="Times"/>
          <w:b/>
        </w:rPr>
        <w:t xml:space="preserve">) = </w:t>
      </w:r>
      <w:r>
        <w:rPr>
          <w:rFonts w:cs="Times"/>
          <w:b/>
        </w:rPr>
        <w:t xml:space="preserve">Dissolved </w:t>
      </w:r>
      <w:r w:rsidRPr="0077142B">
        <w:rPr>
          <w:rFonts w:cs="Times"/>
          <w:b/>
        </w:rPr>
        <w:t>Oxygen [</w:t>
      </w:r>
      <w:proofErr w:type="spellStart"/>
      <w:r w:rsidRPr="00447BC4">
        <w:rPr>
          <w:b/>
        </w:rPr>
        <w:t>mL</w:t>
      </w:r>
      <w:proofErr w:type="spellEnd"/>
      <w:r w:rsidRPr="00447BC4">
        <w:rPr>
          <w:b/>
        </w:rPr>
        <w:t xml:space="preserve"> L</w:t>
      </w:r>
      <w:r w:rsidRPr="00447BC4">
        <w:rPr>
          <w:b/>
          <w:vertAlign w:val="superscript"/>
        </w:rPr>
        <w:t>-1</w:t>
      </w:r>
      <w:r>
        <w:rPr>
          <w:rFonts w:cs="Times"/>
          <w:b/>
        </w:rPr>
        <w:t>]</w:t>
      </w:r>
    </w:p>
    <w:p w:rsidR="00120064" w:rsidRDefault="00120064" w:rsidP="00120064">
      <w:pPr>
        <w:autoSpaceDE w:val="0"/>
        <w:autoSpaceDN w:val="0"/>
        <w:adjustRightInd w:val="0"/>
        <w:rPr>
          <w:rFonts w:cs="Times"/>
          <w:b/>
        </w:rPr>
      </w:pPr>
      <w:r>
        <w:rPr>
          <w:rFonts w:cs="Times"/>
          <w:b/>
        </w:rPr>
        <w:t>(8</w:t>
      </w:r>
      <w:r w:rsidRPr="0077142B">
        <w:rPr>
          <w:rFonts w:cs="Times"/>
          <w:b/>
        </w:rPr>
        <w:t xml:space="preserve">) = </w:t>
      </w:r>
      <w:r>
        <w:rPr>
          <w:rFonts w:cs="Times"/>
          <w:b/>
        </w:rPr>
        <w:t xml:space="preserve">Dissolved </w:t>
      </w:r>
      <w:r w:rsidRPr="0077142B">
        <w:rPr>
          <w:rFonts w:cs="Times"/>
          <w:b/>
        </w:rPr>
        <w:t>Oxygen [</w:t>
      </w:r>
      <w:proofErr w:type="spellStart"/>
      <w:r>
        <w:rPr>
          <w:b/>
        </w:rPr>
        <w:t>mmol</w:t>
      </w:r>
      <w:proofErr w:type="spellEnd"/>
      <w:r>
        <w:rPr>
          <w:b/>
        </w:rPr>
        <w:t xml:space="preserve"> m</w:t>
      </w:r>
      <w:r>
        <w:rPr>
          <w:b/>
          <w:vertAlign w:val="superscript"/>
        </w:rPr>
        <w:t>-3</w:t>
      </w:r>
      <w:r>
        <w:rPr>
          <w:rFonts w:cs="Times"/>
          <w:b/>
        </w:rPr>
        <w:t>]</w:t>
      </w:r>
    </w:p>
    <w:p w:rsidR="00120064" w:rsidRDefault="00120064" w:rsidP="00120064">
      <w:pPr>
        <w:autoSpaceDE w:val="0"/>
        <w:autoSpaceDN w:val="0"/>
        <w:adjustRightInd w:val="0"/>
        <w:rPr>
          <w:rFonts w:cs="Times"/>
          <w:b/>
        </w:rPr>
      </w:pPr>
      <w:r>
        <w:rPr>
          <w:rFonts w:cs="Times"/>
          <w:b/>
        </w:rPr>
        <w:t>(9</w:t>
      </w:r>
      <w:r w:rsidRPr="0077142B">
        <w:rPr>
          <w:rFonts w:cs="Times"/>
          <w:b/>
        </w:rPr>
        <w:t xml:space="preserve">) = </w:t>
      </w:r>
      <w:r>
        <w:rPr>
          <w:rFonts w:cs="Times"/>
          <w:b/>
        </w:rPr>
        <w:t xml:space="preserve">Dissolved </w:t>
      </w:r>
      <w:r w:rsidRPr="0077142B">
        <w:rPr>
          <w:rFonts w:cs="Times"/>
          <w:b/>
        </w:rPr>
        <w:t>Oxygen [</w:t>
      </w:r>
      <w:r w:rsidRPr="00073BE1">
        <w:rPr>
          <w:rFonts w:ascii="Symbol" w:hAnsi="Symbol"/>
          <w:b/>
        </w:rPr>
        <w:t>m</w:t>
      </w:r>
      <w:r>
        <w:rPr>
          <w:b/>
        </w:rPr>
        <w:t>mol kg</w:t>
      </w:r>
      <w:r>
        <w:rPr>
          <w:b/>
          <w:vertAlign w:val="superscript"/>
        </w:rPr>
        <w:t>-1</w:t>
      </w:r>
      <w:r>
        <w:rPr>
          <w:rFonts w:cs="Times"/>
          <w:b/>
        </w:rPr>
        <w:t>]</w:t>
      </w:r>
    </w:p>
    <w:p w:rsidR="00120064" w:rsidRDefault="00120064" w:rsidP="00120064">
      <w:pPr>
        <w:autoSpaceDE w:val="0"/>
        <w:autoSpaceDN w:val="0"/>
        <w:adjustRightInd w:val="0"/>
        <w:rPr>
          <w:rFonts w:cs="Times"/>
          <w:b/>
        </w:rPr>
      </w:pPr>
      <w:r>
        <w:rPr>
          <w:rFonts w:cs="Times"/>
          <w:b/>
        </w:rPr>
        <w:t>(10) = Oxygen Percent Saturation [%]</w:t>
      </w:r>
    </w:p>
    <w:p w:rsidR="00120064" w:rsidRPr="0077142B" w:rsidRDefault="00120064" w:rsidP="00120064">
      <w:pPr>
        <w:autoSpaceDE w:val="0"/>
        <w:autoSpaceDN w:val="0"/>
        <w:adjustRightInd w:val="0"/>
        <w:rPr>
          <w:rFonts w:cs="Times"/>
          <w:b/>
        </w:rPr>
      </w:pPr>
      <w:r>
        <w:rPr>
          <w:rFonts w:cs="Times"/>
          <w:b/>
        </w:rPr>
        <w:t>(11) = Nitrate, uncorrected [</w:t>
      </w:r>
      <w:r w:rsidRPr="0077142B">
        <w:rPr>
          <w:rFonts w:ascii="Symbol" w:hAnsi="Symbol" w:cs="Times"/>
          <w:b/>
        </w:rPr>
        <w:t></w:t>
      </w:r>
      <w:r>
        <w:rPr>
          <w:rFonts w:cs="Times"/>
          <w:b/>
        </w:rPr>
        <w:t>M]</w:t>
      </w:r>
    </w:p>
    <w:p w:rsidR="00367E7A" w:rsidRDefault="00120064" w:rsidP="00120064">
      <w:pPr>
        <w:autoSpaceDE w:val="0"/>
        <w:autoSpaceDN w:val="0"/>
        <w:adjustRightInd w:val="0"/>
        <w:rPr>
          <w:rFonts w:cs="Times"/>
          <w:b/>
        </w:rPr>
      </w:pPr>
      <w:r>
        <w:rPr>
          <w:rFonts w:cs="Times"/>
          <w:b/>
        </w:rPr>
        <w:t>(12</w:t>
      </w:r>
      <w:r w:rsidRPr="0077142B">
        <w:rPr>
          <w:rFonts w:cs="Times"/>
          <w:b/>
        </w:rPr>
        <w:t xml:space="preserve">) = </w:t>
      </w:r>
      <w:r>
        <w:rPr>
          <w:rFonts w:cs="Times"/>
          <w:b/>
        </w:rPr>
        <w:t xml:space="preserve">Nitrate, corrected </w:t>
      </w:r>
      <w:r w:rsidRPr="0077142B">
        <w:rPr>
          <w:rFonts w:cs="Times"/>
          <w:b/>
        </w:rPr>
        <w:t>[</w:t>
      </w:r>
      <w:r w:rsidRPr="0077142B">
        <w:rPr>
          <w:rFonts w:ascii="Symbol" w:hAnsi="Symbol" w:cs="Times"/>
          <w:b/>
        </w:rPr>
        <w:t></w:t>
      </w:r>
      <w:r>
        <w:rPr>
          <w:rFonts w:cs="Times"/>
          <w:b/>
        </w:rPr>
        <w:t>M]</w:t>
      </w:r>
    </w:p>
    <w:p w:rsidR="00120064" w:rsidRDefault="00120064" w:rsidP="00120064">
      <w:pPr>
        <w:rPr>
          <w:i/>
        </w:rPr>
      </w:pPr>
    </w:p>
    <w:p w:rsidR="00120064" w:rsidRDefault="00120064" w:rsidP="00120064">
      <w:r>
        <w:t>This data was collected under the support of NSF grant OPP-0634122 to K. Falkner and OPP-9910305 to J. Morison.  Any opinions, findings, and conclusions or recommendations expressed in this material are those of the author(s) and do not necessarily reflect the views of the National Science Foundation.</w:t>
      </w:r>
    </w:p>
    <w:p w:rsidR="00120064" w:rsidRDefault="00120064" w:rsidP="00120064"/>
    <w:p w:rsidR="00120064" w:rsidRDefault="00120064" w:rsidP="00120064">
      <w:r>
        <w:t>For further information, please contact:</w:t>
      </w:r>
    </w:p>
    <w:p w:rsidR="00120064" w:rsidRDefault="00120064" w:rsidP="00120064"/>
    <w:p w:rsidR="00120064" w:rsidRDefault="00120064" w:rsidP="00120064">
      <w:r>
        <w:t>Dr. Matthew Alkire</w:t>
      </w:r>
      <w:r>
        <w:tab/>
      </w:r>
      <w:r>
        <w:tab/>
      </w:r>
      <w:hyperlink r:id="rId7" w:history="1">
        <w:r>
          <w:rPr>
            <w:rStyle w:val="Hyperlink"/>
          </w:rPr>
          <w:t>malkire@apl.washington.edu</w:t>
        </w:r>
      </w:hyperlink>
      <w:r>
        <w:tab/>
      </w:r>
      <w:r>
        <w:tab/>
        <w:t>(206) 896-1623</w:t>
      </w:r>
    </w:p>
    <w:p w:rsidR="00120064" w:rsidRDefault="00120064" w:rsidP="00120064">
      <w:r>
        <w:t>Applied Physics Laboratory</w:t>
      </w:r>
    </w:p>
    <w:p w:rsidR="00120064" w:rsidRDefault="00120064" w:rsidP="00120064">
      <w:r>
        <w:t>University of Washington</w:t>
      </w:r>
    </w:p>
    <w:p w:rsidR="00120064" w:rsidRDefault="00120064" w:rsidP="00120064">
      <w:r>
        <w:t>1013 NE 40</w:t>
      </w:r>
      <w:r w:rsidRPr="00C0630E">
        <w:rPr>
          <w:vertAlign w:val="superscript"/>
        </w:rPr>
        <w:t>th</w:t>
      </w:r>
      <w:r>
        <w:t xml:space="preserve"> Street</w:t>
      </w:r>
    </w:p>
    <w:p w:rsidR="00120064" w:rsidRDefault="00120064" w:rsidP="00120064">
      <w:r>
        <w:t>Seattle, WA 98105</w:t>
      </w:r>
    </w:p>
    <w:p w:rsidR="00120064" w:rsidRDefault="00120064" w:rsidP="00120064"/>
    <w:p w:rsidR="00120064" w:rsidRDefault="00120064" w:rsidP="00120064">
      <w:r>
        <w:rPr>
          <w:u w:val="single"/>
        </w:rPr>
        <w:t>Reference</w:t>
      </w:r>
      <w:r w:rsidRPr="00332A0A">
        <w:rPr>
          <w:u w:val="single"/>
        </w:rPr>
        <w:t>s</w:t>
      </w:r>
    </w:p>
    <w:p w:rsidR="00120064" w:rsidRDefault="00120064" w:rsidP="00120064"/>
    <w:p w:rsidR="00120064" w:rsidRDefault="00120064" w:rsidP="00120064">
      <w:r>
        <w:t xml:space="preserve">Alkire, M.B., K.K. Falkner, J. Morison, R.W. Collier, </w:t>
      </w:r>
      <w:proofErr w:type="spellStart"/>
      <w:r>
        <w:t>C.K.Guay</w:t>
      </w:r>
      <w:proofErr w:type="spellEnd"/>
      <w:r>
        <w:t xml:space="preserve">, R.A. </w:t>
      </w:r>
      <w:proofErr w:type="spellStart"/>
      <w:r>
        <w:t>Desiderio</w:t>
      </w:r>
      <w:proofErr w:type="spellEnd"/>
      <w:r>
        <w:t xml:space="preserve">, I.G. Rigor, M. </w:t>
      </w:r>
      <w:proofErr w:type="spellStart"/>
      <w:r>
        <w:t>McPhee</w:t>
      </w:r>
      <w:proofErr w:type="spellEnd"/>
      <w:r>
        <w:t xml:space="preserve"> (2010). Sensor-based profiles of the NO parameter in the central Arctic and southern Canada Basin: new insights regarding the cold halocline, </w:t>
      </w:r>
      <w:r>
        <w:rPr>
          <w:i/>
        </w:rPr>
        <w:t xml:space="preserve">Deep-Sea Research I 57: </w:t>
      </w:r>
      <w:r w:rsidRPr="00D40F25">
        <w:t>1432-1443.</w:t>
      </w:r>
    </w:p>
    <w:p w:rsidR="00120064" w:rsidRDefault="006B1817" w:rsidP="00120064">
      <w:pPr>
        <w:widowControl w:val="0"/>
        <w:autoSpaceDE w:val="0"/>
        <w:autoSpaceDN w:val="0"/>
        <w:adjustRightInd w:val="0"/>
      </w:pPr>
      <w:r>
        <w:fldChar w:fldCharType="begin"/>
      </w:r>
      <w:r w:rsidR="00120064">
        <w:instrText xml:space="preserve"> ADDIN EN.REFLIST </w:instrText>
      </w:r>
      <w:r>
        <w:fldChar w:fldCharType="separate"/>
      </w:r>
    </w:p>
    <w:p w:rsidR="00120064" w:rsidRDefault="00120064" w:rsidP="00120064">
      <w:r>
        <w:t xml:space="preserve">Sakamoto, C.M., K.S Johnson, L.J. Coletti (2009). Improved algorithm for the </w:t>
      </w:r>
    </w:p>
    <w:p w:rsidR="00120064" w:rsidRDefault="00120064" w:rsidP="00120064">
      <w:r>
        <w:t xml:space="preserve">computation of nitrate concentrations in seawater using an in situ ultraviolet spectrophotometer, </w:t>
      </w:r>
      <w:r w:rsidRPr="009F1EF7">
        <w:rPr>
          <w:i/>
        </w:rPr>
        <w:t>Limn</w:t>
      </w:r>
      <w:r>
        <w:rPr>
          <w:i/>
        </w:rPr>
        <w:t>ology</w:t>
      </w:r>
      <w:r w:rsidRPr="009F1EF7">
        <w:rPr>
          <w:i/>
        </w:rPr>
        <w:t xml:space="preserve"> &amp; Ocean</w:t>
      </w:r>
      <w:r>
        <w:rPr>
          <w:i/>
        </w:rPr>
        <w:t>ography:</w:t>
      </w:r>
      <w:r w:rsidRPr="009F1EF7">
        <w:rPr>
          <w:i/>
        </w:rPr>
        <w:t xml:space="preserve"> Methods 7</w:t>
      </w:r>
      <w:r>
        <w:t>, 132-143.</w:t>
      </w:r>
    </w:p>
    <w:p w:rsidR="00120064" w:rsidRDefault="00120064" w:rsidP="00120064">
      <w:pPr>
        <w:widowControl w:val="0"/>
        <w:autoSpaceDE w:val="0"/>
        <w:autoSpaceDN w:val="0"/>
        <w:adjustRightInd w:val="0"/>
        <w:ind w:left="720"/>
      </w:pPr>
    </w:p>
    <w:p w:rsidR="00120064" w:rsidRDefault="00120064" w:rsidP="00120064">
      <w:pPr>
        <w:ind w:left="720"/>
      </w:pPr>
    </w:p>
    <w:p w:rsidR="00120064" w:rsidRDefault="00120064" w:rsidP="00120064"/>
    <w:p w:rsidR="00120064" w:rsidRDefault="006B1817" w:rsidP="00120064">
      <w:r>
        <w:fldChar w:fldCharType="end"/>
      </w:r>
    </w:p>
    <w:p w:rsidR="00120064" w:rsidRDefault="00120064" w:rsidP="00120064"/>
    <w:p w:rsidR="00120064" w:rsidRDefault="00120064" w:rsidP="00120064"/>
    <w:p w:rsidR="00120064" w:rsidRDefault="00120064"/>
    <w:sectPr w:rsidR="00120064" w:rsidSect="00120064">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0064"/>
    <w:rsid w:val="00015090"/>
    <w:rsid w:val="0004259D"/>
    <w:rsid w:val="00097D61"/>
    <w:rsid w:val="000F0A12"/>
    <w:rsid w:val="000F6D78"/>
    <w:rsid w:val="00105BE1"/>
    <w:rsid w:val="00120064"/>
    <w:rsid w:val="00237470"/>
    <w:rsid w:val="002A3A05"/>
    <w:rsid w:val="00367E7A"/>
    <w:rsid w:val="004852F8"/>
    <w:rsid w:val="004F6E12"/>
    <w:rsid w:val="005142D0"/>
    <w:rsid w:val="00521162"/>
    <w:rsid w:val="00556B63"/>
    <w:rsid w:val="005F366B"/>
    <w:rsid w:val="00611D03"/>
    <w:rsid w:val="00676D69"/>
    <w:rsid w:val="00687974"/>
    <w:rsid w:val="006B1817"/>
    <w:rsid w:val="006C1717"/>
    <w:rsid w:val="006D261E"/>
    <w:rsid w:val="006D26F5"/>
    <w:rsid w:val="006D5B24"/>
    <w:rsid w:val="00731BC7"/>
    <w:rsid w:val="00822E20"/>
    <w:rsid w:val="008941AD"/>
    <w:rsid w:val="008F33D1"/>
    <w:rsid w:val="009024F8"/>
    <w:rsid w:val="00A115EA"/>
    <w:rsid w:val="00AA1C3F"/>
    <w:rsid w:val="00AF346D"/>
    <w:rsid w:val="00B34393"/>
    <w:rsid w:val="00B35ED6"/>
    <w:rsid w:val="00B672C3"/>
    <w:rsid w:val="00B7474F"/>
    <w:rsid w:val="00C85142"/>
    <w:rsid w:val="00CC6C45"/>
    <w:rsid w:val="00D36A2A"/>
    <w:rsid w:val="00D7531E"/>
    <w:rsid w:val="00DC4599"/>
    <w:rsid w:val="00DD061E"/>
    <w:rsid w:val="00E42A94"/>
    <w:rsid w:val="00E814B9"/>
    <w:rsid w:val="00EA56A8"/>
    <w:rsid w:val="00FE055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qFormat="1"/>
    <w:lsdException w:name="Hyperlink" w:uiPriority="99"/>
    <w:lsdException w:name="FollowedHyperlink" w:uiPriority="99"/>
  </w:latentStyles>
  <w:style w:type="paragraph" w:default="1" w:styleId="Normal">
    <w:name w:val="Normal"/>
    <w:qFormat/>
    <w:rsid w:val="00120064"/>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PlainTextChar">
    <w:name w:val="Plain Text Char"/>
    <w:basedOn w:val="DefaultParagraphFont"/>
    <w:link w:val="PlainText"/>
    <w:rsid w:val="00120064"/>
    <w:rPr>
      <w:rFonts w:ascii="Courier New" w:eastAsia="Times New Roman" w:hAnsi="Courier New" w:cs="Courier New"/>
      <w:sz w:val="20"/>
      <w:szCs w:val="20"/>
    </w:rPr>
  </w:style>
  <w:style w:type="paragraph" w:styleId="PlainText">
    <w:name w:val="Plain Text"/>
    <w:basedOn w:val="Normal"/>
    <w:link w:val="PlainTextChar"/>
    <w:rsid w:val="00120064"/>
    <w:rPr>
      <w:rFonts w:ascii="Courier New" w:hAnsi="Courier New" w:cs="Courier New"/>
      <w:sz w:val="20"/>
      <w:szCs w:val="20"/>
    </w:rPr>
  </w:style>
  <w:style w:type="paragraph" w:styleId="Caption">
    <w:name w:val="caption"/>
    <w:basedOn w:val="Normal"/>
    <w:next w:val="Normal"/>
    <w:qFormat/>
    <w:rsid w:val="00120064"/>
    <w:rPr>
      <w:b/>
      <w:bCs/>
      <w:sz w:val="20"/>
      <w:szCs w:val="20"/>
    </w:rPr>
  </w:style>
  <w:style w:type="character" w:styleId="Hyperlink">
    <w:name w:val="Hyperlink"/>
    <w:basedOn w:val="DefaultParagraphFont"/>
    <w:uiPriority w:val="99"/>
    <w:rsid w:val="00120064"/>
    <w:rPr>
      <w:color w:val="0000FF"/>
      <w:u w:val="single"/>
    </w:rPr>
  </w:style>
  <w:style w:type="table" w:styleId="TableGrid">
    <w:name w:val="Table Grid"/>
    <w:basedOn w:val="TableNormal"/>
    <w:rsid w:val="009024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9108540">
      <w:bodyDiv w:val="1"/>
      <w:marLeft w:val="0"/>
      <w:marRight w:val="0"/>
      <w:marTop w:val="0"/>
      <w:marBottom w:val="0"/>
      <w:divBdr>
        <w:top w:val="none" w:sz="0" w:space="0" w:color="auto"/>
        <w:left w:val="none" w:sz="0" w:space="0" w:color="auto"/>
        <w:bottom w:val="none" w:sz="0" w:space="0" w:color="auto"/>
        <w:right w:val="none" w:sz="0" w:space="0" w:color="auto"/>
      </w:divBdr>
    </w:div>
    <w:div w:id="1175726491">
      <w:bodyDiv w:val="1"/>
      <w:marLeft w:val="0"/>
      <w:marRight w:val="0"/>
      <w:marTop w:val="0"/>
      <w:marBottom w:val="0"/>
      <w:divBdr>
        <w:top w:val="none" w:sz="0" w:space="0" w:color="auto"/>
        <w:left w:val="none" w:sz="0" w:space="0" w:color="auto"/>
        <w:bottom w:val="none" w:sz="0" w:space="0" w:color="auto"/>
        <w:right w:val="none" w:sz="0" w:space="0" w:color="auto"/>
      </w:divBdr>
    </w:div>
    <w:div w:id="1599294961">
      <w:bodyDiv w:val="1"/>
      <w:marLeft w:val="0"/>
      <w:marRight w:val="0"/>
      <w:marTop w:val="0"/>
      <w:marBottom w:val="0"/>
      <w:divBdr>
        <w:top w:val="none" w:sz="0" w:space="0" w:color="auto"/>
        <w:left w:val="none" w:sz="0" w:space="0" w:color="auto"/>
        <w:bottom w:val="none" w:sz="0" w:space="0" w:color="auto"/>
        <w:right w:val="none" w:sz="0" w:space="0" w:color="auto"/>
      </w:divBdr>
    </w:div>
    <w:div w:id="1681154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cdp.ucar.edu/browse/browse.htm?uri=http://dataportal.ucar.edu/metadata/cadis/cadis.thredds.xml"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kfalkner@coas.oregonstate.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2488</Words>
  <Characters>14185</Characters>
  <Application>Microsoft Macintosh Word</Application>
  <DocSecurity>0</DocSecurity>
  <Lines>118</Lines>
  <Paragraphs>28</Paragraphs>
  <ScaleCrop>false</ScaleCrop>
  <Company>APL-UW</Company>
  <LinksUpToDate>false</LinksUpToDate>
  <CharactersWithSpaces>17420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Alkire</dc:creator>
  <cp:keywords/>
  <cp:lastModifiedBy>Matthew Alkire</cp:lastModifiedBy>
  <cp:revision>33</cp:revision>
  <dcterms:created xsi:type="dcterms:W3CDTF">2013-06-24T20:06:00Z</dcterms:created>
  <dcterms:modified xsi:type="dcterms:W3CDTF">2013-07-27T01:26:00Z</dcterms:modified>
</cp:coreProperties>
</file>